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C93" w:rsidRDefault="00F359AA">
      <w:pPr>
        <w:spacing w:line="540" w:lineRule="exact"/>
        <w:rPr>
          <w:rFonts w:hint="eastAsia"/>
        </w:rPr>
      </w:pPr>
    </w:p>
    <w:p w:rsidR="00AF1C93" w:rsidRDefault="00F359AA">
      <w:pPr>
        <w:spacing w:line="540" w:lineRule="exact"/>
        <w:rPr>
          <w:rFonts w:hint="eastAsia"/>
        </w:rPr>
      </w:pPr>
      <w:r>
        <w:rPr>
          <w:lang w:val="en-US" w:eastAsia="zh-CN"/>
        </w:rPr>
        <w:pict>
          <v:shapetype id="_x0000_t202" coordsize="21600,21600" o:spt="202" path="m,l,21600r21600,l21600,xe">
            <v:stroke joinstyle="miter"/>
            <v:path gradientshapeok="t" o:connecttype="rect"/>
          </v:shapetype>
          <v:shape id="文本框 12" o:spid="_x0000_s1025" type="#_x0000_t202" style="position:absolute;left:0;text-align:left;margin-left:-75.7pt;margin-top:146.2pt;width:592.9pt;height:72.25pt;z-index:-251660288;mso-position-vertical-relative:page" filled="f" stroked="f">
            <v:fill o:detectmouseclick="t"/>
            <v:textbox inset="0,0,0,0">
              <w:txbxContent>
                <w:p w:rsidR="00AF1C93" w:rsidRPr="00C235D5" w:rsidRDefault="00F359AA">
                  <w:pPr>
                    <w:snapToGrid w:val="0"/>
                    <w:spacing w:line="240" w:lineRule="auto"/>
                    <w:jc w:val="center"/>
                    <w:rPr>
                      <w:rFonts w:ascii="方正小标宋简体" w:eastAsia="方正小标宋简体" w:hAnsi="宋体" w:cs="宋体" w:hint="eastAsia"/>
                      <w:b/>
                      <w:color w:val="FF0000"/>
                      <w:w w:val="80"/>
                      <w:sz w:val="80"/>
                      <w:szCs w:val="80"/>
                    </w:rPr>
                  </w:pPr>
                  <w:bookmarkStart w:id="0" w:name="红头1"/>
                  <w:bookmarkStart w:id="1" w:name="红头"/>
                  <w:bookmarkEnd w:id="0"/>
                  <w:bookmarkEnd w:id="1"/>
                  <w:r w:rsidRPr="00C235D5">
                    <w:rPr>
                      <w:rFonts w:ascii="方正小标宋简体" w:eastAsia="方正小标宋简体" w:hAnsi="宋体" w:cs="宋体" w:hint="eastAsia"/>
                      <w:b/>
                      <w:color w:val="FF0000"/>
                      <w:spacing w:val="120"/>
                      <w:w w:val="80"/>
                      <w:sz w:val="80"/>
                      <w:szCs w:val="80"/>
                    </w:rPr>
                    <w:t>重庆市气象局文</w:t>
                  </w:r>
                  <w:r w:rsidRPr="00C235D5">
                    <w:rPr>
                      <w:rFonts w:ascii="方正小标宋简体" w:eastAsia="方正小标宋简体" w:hAnsi="宋体" w:cs="宋体" w:hint="eastAsia"/>
                      <w:b/>
                      <w:color w:val="FF0000"/>
                      <w:w w:val="80"/>
                      <w:sz w:val="80"/>
                      <w:szCs w:val="80"/>
                    </w:rPr>
                    <w:t>件</w:t>
                  </w:r>
                </w:p>
              </w:txbxContent>
            </v:textbox>
            <w10:wrap anchory="page"/>
          </v:shape>
        </w:pict>
      </w:r>
      <w:r>
        <w:rPr>
          <w:lang w:val="en-US" w:eastAsia="zh-CN"/>
        </w:rPr>
        <w:pict>
          <v:shape id="文本框 6" o:spid="_x0000_s1026" type="#_x0000_t202" style="position:absolute;left:0;text-align:left;margin-left:1.25pt;margin-top:108pt;width:166.5pt;height:43.55pt;z-index:-251662336;mso-position-vertical-relative:page" filled="f" stroked="f" strokecolor="red">
            <v:textbox inset="0,0,0,0">
              <w:txbxContent>
                <w:p w:rsidR="00AF1C93" w:rsidRDefault="00F359AA">
                  <w:pPr>
                    <w:spacing w:line="320" w:lineRule="exact"/>
                    <w:rPr>
                      <w:rFonts w:ascii="黑体" w:eastAsia="黑体" w:hint="eastAsia"/>
                    </w:rPr>
                  </w:pPr>
                  <w:bookmarkStart w:id="2" w:name="缓急"/>
                  <w:bookmarkEnd w:id="2"/>
                </w:p>
              </w:txbxContent>
            </v:textbox>
            <w10:wrap anchory="page"/>
          </v:shape>
        </w:pict>
      </w:r>
    </w:p>
    <w:p w:rsidR="00AF1C93" w:rsidRDefault="00F359AA">
      <w:pPr>
        <w:spacing w:line="540" w:lineRule="exact"/>
        <w:jc w:val="center"/>
      </w:pPr>
      <w:bookmarkStart w:id="3" w:name="图片"/>
      <w:bookmarkEnd w:id="3"/>
    </w:p>
    <w:p w:rsidR="00AF1C93" w:rsidRDefault="00F359AA">
      <w:pPr>
        <w:spacing w:line="540" w:lineRule="exact"/>
        <w:jc w:val="center"/>
      </w:pPr>
    </w:p>
    <w:p w:rsidR="00AF1C93" w:rsidRDefault="00F359AA">
      <w:pPr>
        <w:snapToGrid w:val="0"/>
        <w:spacing w:line="540" w:lineRule="exact"/>
        <w:jc w:val="center"/>
        <w:rPr>
          <w:rFonts w:ascii="仿宋_GB2312"/>
          <w:sz w:val="72"/>
          <w:szCs w:val="72"/>
        </w:rPr>
      </w:pPr>
    </w:p>
    <w:p w:rsidR="00AF1C93" w:rsidRDefault="00F359AA">
      <w:pPr>
        <w:snapToGrid w:val="0"/>
        <w:spacing w:line="540" w:lineRule="exact"/>
        <w:jc w:val="center"/>
        <w:rPr>
          <w:rFonts w:ascii="仿宋_GB2312" w:hint="eastAsia"/>
          <w:spacing w:val="70"/>
          <w:w w:val="77"/>
          <w:szCs w:val="32"/>
        </w:rPr>
      </w:pPr>
      <w:r>
        <w:rPr>
          <w:lang w:val="en-US" w:eastAsia="zh-CN"/>
        </w:rPr>
        <w:pict>
          <v:line id="直线 2" o:spid="_x0000_s1027" style="position:absolute;left:0;text-align:left;z-index:-251663360;mso-position-vertical-relative:page" from="-1.2pt,265.45pt" to="441pt,265.45pt" strokecolor="red" strokeweight="1.5pt">
            <w10:wrap anchory="page"/>
          </v:line>
        </w:pict>
      </w:r>
      <w:r>
        <w:rPr>
          <w:lang w:val="en-US" w:eastAsia="zh-CN"/>
        </w:rPr>
        <w:pict>
          <v:shape id="文本框 7" o:spid="_x0000_s1028" type="#_x0000_t202" style="position:absolute;left:0;text-align:left;margin-left:0;margin-top:242.9pt;width:441pt;height:28.8pt;z-index:-251661312;mso-position-vertical-relative:page" filled="f" stroked="f" strokecolor="red">
            <v:textbox inset="0,0,0,0">
              <w:txbxContent>
                <w:p w:rsidR="00AF1C93" w:rsidRDefault="00F359AA">
                  <w:pPr>
                    <w:spacing w:line="320" w:lineRule="exact"/>
                    <w:jc w:val="center"/>
                    <w:rPr>
                      <w:rFonts w:ascii="仿宋_GB2312" w:hint="eastAsia"/>
                    </w:rPr>
                  </w:pPr>
                  <w:bookmarkStart w:id="4" w:name="文号"/>
                  <w:bookmarkEnd w:id="4"/>
                  <w:r>
                    <w:rPr>
                      <w:rFonts w:ascii="仿宋_GB2312" w:hint="eastAsia"/>
                    </w:rPr>
                    <w:t>渝气发〔</w:t>
                  </w:r>
                  <w:r>
                    <w:rPr>
                      <w:rFonts w:ascii="仿宋_GB2312" w:hint="eastAsia"/>
                    </w:rPr>
                    <w:t>2021</w:t>
                  </w:r>
                  <w:r>
                    <w:rPr>
                      <w:rFonts w:ascii="仿宋_GB2312" w:hint="eastAsia"/>
                    </w:rPr>
                    <w:t>〕</w:t>
                  </w:r>
                  <w:r>
                    <w:rPr>
                      <w:rFonts w:ascii="仿宋_GB2312" w:hint="eastAsia"/>
                    </w:rPr>
                    <w:t>13</w:t>
                  </w:r>
                  <w:r>
                    <w:rPr>
                      <w:rFonts w:ascii="仿宋_GB2312" w:hint="eastAsia"/>
                    </w:rPr>
                    <w:t>号</w:t>
                  </w:r>
                </w:p>
              </w:txbxContent>
            </v:textbox>
            <w10:wrap anchory="page"/>
          </v:shape>
        </w:pict>
      </w:r>
    </w:p>
    <w:p w:rsidR="00AF1C93" w:rsidRDefault="00F359AA">
      <w:pPr>
        <w:snapToGrid w:val="0"/>
        <w:spacing w:line="540" w:lineRule="exact"/>
        <w:jc w:val="center"/>
        <w:rPr>
          <w:rFonts w:ascii="仿宋_GB2312" w:hint="eastAsia"/>
        </w:rPr>
      </w:pPr>
    </w:p>
    <w:p w:rsidR="00C235D5" w:rsidRPr="00C235D5" w:rsidRDefault="00F359AA">
      <w:pPr>
        <w:snapToGrid w:val="0"/>
        <w:spacing w:line="700" w:lineRule="exact"/>
        <w:jc w:val="center"/>
        <w:rPr>
          <w:rFonts w:ascii="方正小标宋_GBK" w:eastAsia="方正小标宋_GBK" w:hAnsi="宋体" w:hint="eastAsia"/>
          <w:sz w:val="44"/>
          <w:szCs w:val="44"/>
        </w:rPr>
      </w:pPr>
      <w:bookmarkStart w:id="5" w:name="标题"/>
      <w:bookmarkEnd w:id="5"/>
      <w:r w:rsidRPr="00C235D5">
        <w:rPr>
          <w:rFonts w:ascii="方正小标宋_GBK" w:eastAsia="方正小标宋_GBK" w:hAnsi="宋体" w:hint="eastAsia"/>
          <w:sz w:val="44"/>
          <w:szCs w:val="44"/>
        </w:rPr>
        <w:t>重庆市气象局关于开展</w:t>
      </w:r>
      <w:r w:rsidRPr="00C235D5">
        <w:rPr>
          <w:rFonts w:ascii="方正小标宋_GBK" w:eastAsia="方正小标宋_GBK" w:hAnsi="宋体" w:hint="eastAsia"/>
          <w:sz w:val="44"/>
          <w:szCs w:val="44"/>
        </w:rPr>
        <w:t>2021</w:t>
      </w:r>
      <w:r w:rsidRPr="00C235D5">
        <w:rPr>
          <w:rFonts w:ascii="方正小标宋_GBK" w:eastAsia="方正小标宋_GBK" w:hAnsi="宋体" w:hint="eastAsia"/>
          <w:sz w:val="44"/>
          <w:szCs w:val="44"/>
        </w:rPr>
        <w:t>年雷电防护</w:t>
      </w:r>
    </w:p>
    <w:p w:rsidR="00AF1C93" w:rsidRPr="00C235D5" w:rsidRDefault="00F359AA">
      <w:pPr>
        <w:snapToGrid w:val="0"/>
        <w:spacing w:line="700" w:lineRule="exact"/>
        <w:jc w:val="center"/>
        <w:rPr>
          <w:rFonts w:ascii="方正小标宋_GBK" w:eastAsia="方正小标宋_GBK" w:hAnsi="宋体" w:hint="eastAsia"/>
          <w:sz w:val="44"/>
          <w:szCs w:val="44"/>
        </w:rPr>
      </w:pPr>
      <w:r w:rsidRPr="00C235D5">
        <w:rPr>
          <w:rFonts w:ascii="方正小标宋_GBK" w:eastAsia="方正小标宋_GBK" w:hAnsi="宋体" w:hint="eastAsia"/>
          <w:sz w:val="44"/>
          <w:szCs w:val="44"/>
        </w:rPr>
        <w:t>装置安全性能检测工作的通知</w:t>
      </w:r>
    </w:p>
    <w:p w:rsidR="00AF1C93" w:rsidRDefault="00F359AA">
      <w:pPr>
        <w:snapToGrid w:val="0"/>
        <w:spacing w:line="700" w:lineRule="exact"/>
        <w:jc w:val="center"/>
        <w:rPr>
          <w:rFonts w:ascii="仿宋_GB2312" w:hint="eastAsia"/>
          <w:spacing w:val="-6"/>
        </w:rPr>
      </w:pPr>
    </w:p>
    <w:p w:rsidR="00AF1C93" w:rsidRPr="00C235D5" w:rsidRDefault="00F359AA">
      <w:pPr>
        <w:spacing w:line="576" w:lineRule="exact"/>
        <w:rPr>
          <w:rFonts w:ascii="方正仿宋_GBK" w:eastAsia="方正仿宋_GBK" w:hAnsi="宋体" w:hint="eastAsia"/>
          <w:spacing w:val="-6"/>
        </w:rPr>
      </w:pPr>
      <w:bookmarkStart w:id="6" w:name="主送机关"/>
      <w:bookmarkEnd w:id="6"/>
      <w:r w:rsidRPr="00C235D5">
        <w:rPr>
          <w:rFonts w:ascii="方正仿宋_GBK" w:eastAsia="方正仿宋_GBK" w:hAnsi="宋体" w:hint="eastAsia"/>
          <w:spacing w:val="-6"/>
        </w:rPr>
        <w:t>各有关单位</w:t>
      </w:r>
      <w:r w:rsidRPr="00C235D5">
        <w:rPr>
          <w:rFonts w:ascii="方正仿宋_GBK" w:eastAsia="方正仿宋_GBK" w:hAnsi="宋体" w:hint="eastAsia"/>
          <w:spacing w:val="-6"/>
        </w:rPr>
        <w:t>：</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重庆是全国多雷暴地区之一，由于部分建筑物、设施或场所安装的雷电防护装置无效或者其安全性能不达标，致使雷击事故时有发生，损失严重。为提高我市雷电灾害防御能力，根据《中华人民共和国气象法》《重庆市气象灾害防御条例》和《重庆市防御雷电灾害管理办法》等有关法律法规、规范性文件要求，结合我市防雷安全工作实际，现将</w:t>
      </w:r>
      <w:r w:rsidRPr="00C235D5">
        <w:rPr>
          <w:rFonts w:ascii="方正仿宋_GBK" w:eastAsia="方正仿宋_GBK" w:hint="eastAsia"/>
          <w:szCs w:val="32"/>
        </w:rPr>
        <w:t>2021</w:t>
      </w:r>
      <w:r w:rsidRPr="00C235D5">
        <w:rPr>
          <w:rFonts w:ascii="方正仿宋_GBK" w:eastAsia="方正仿宋_GBK" w:hint="eastAsia"/>
          <w:szCs w:val="32"/>
        </w:rPr>
        <w:t>年开展雷电防护装置安全性能检测有关事项和要求通知如下：</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一、雷电灾害防御是安全生产和自然灾害防</w:t>
      </w:r>
      <w:r w:rsidRPr="00C235D5">
        <w:rPr>
          <w:rFonts w:ascii="方正仿宋_GBK" w:eastAsia="方正仿宋_GBK" w:hint="eastAsia"/>
          <w:szCs w:val="32"/>
        </w:rPr>
        <w:t>治的重要组成部分，各级气象主管机构依法履行所辖区域雷电灾害防御工作的组织管理职责，依法承担职责范围内的防雷安全监督管理和雷电防护装置检测资质认定工作。</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lastRenderedPageBreak/>
        <w:t>二、投入使用的雷电防护装置实行定期检测制度，以下范围内的雷电防护装置应当进行检测：</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1.</w:t>
      </w:r>
      <w:r w:rsidRPr="00C235D5">
        <w:rPr>
          <w:rFonts w:ascii="方正仿宋_GBK" w:eastAsia="方正仿宋_GBK" w:hint="eastAsia"/>
          <w:szCs w:val="32"/>
        </w:rPr>
        <w:t>一、二、三类防雷建（构）筑物及其内部设施设备；</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2.</w:t>
      </w:r>
      <w:r w:rsidRPr="00C235D5">
        <w:rPr>
          <w:rFonts w:ascii="方正仿宋_GBK" w:eastAsia="方正仿宋_GBK" w:hint="eastAsia"/>
          <w:szCs w:val="32"/>
        </w:rPr>
        <w:t>易燃易爆危化品的生产、储存、经营等场所，如油库、加油加气站、液化气充装站、炸药雷管库等；</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3.</w:t>
      </w:r>
      <w:r w:rsidRPr="00C235D5">
        <w:rPr>
          <w:rFonts w:ascii="方正仿宋_GBK" w:eastAsia="方正仿宋_GBK" w:hint="eastAsia"/>
          <w:szCs w:val="32"/>
        </w:rPr>
        <w:t>各类人员密集场所，如学校、医院、宾馆、酒店、写字楼、商场、体育场馆</w:t>
      </w:r>
      <w:r w:rsidRPr="00C235D5">
        <w:rPr>
          <w:rFonts w:ascii="方正仿宋_GBK" w:eastAsia="方正仿宋_GBK" w:hint="eastAsia"/>
          <w:color w:val="000000"/>
          <w:szCs w:val="32"/>
        </w:rPr>
        <w:t>等</w:t>
      </w:r>
      <w:r w:rsidRPr="00C235D5">
        <w:rPr>
          <w:rFonts w:ascii="方正仿宋_GBK" w:eastAsia="方正仿宋_GBK" w:hint="eastAsia"/>
          <w:szCs w:val="32"/>
        </w:rPr>
        <w:t>；</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4.</w:t>
      </w:r>
      <w:r w:rsidRPr="00C235D5">
        <w:rPr>
          <w:rFonts w:ascii="方正仿宋_GBK" w:eastAsia="方正仿宋_GBK" w:hint="eastAsia"/>
          <w:szCs w:val="32"/>
        </w:rPr>
        <w:t>工业厂房、物资仓库、矿区、旅游景点、大型露天演艺场</w:t>
      </w:r>
      <w:r w:rsidRPr="00C235D5">
        <w:rPr>
          <w:rFonts w:ascii="方正仿宋_GBK" w:eastAsia="方正仿宋_GBK" w:hint="eastAsia"/>
          <w:szCs w:val="32"/>
        </w:rPr>
        <w:t>所、露天堆场和施工现场的临时设施（如塔吊、升降机）等；</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5.</w:t>
      </w:r>
      <w:r w:rsidRPr="00C235D5">
        <w:rPr>
          <w:rFonts w:ascii="方正仿宋_GBK" w:eastAsia="方正仿宋_GBK" w:hint="eastAsia"/>
          <w:szCs w:val="32"/>
        </w:rPr>
        <w:t>各类通信设施、网络中心、计算机信息系统、监控系统、广播电视设施等；</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6.</w:t>
      </w:r>
      <w:r w:rsidRPr="00C235D5">
        <w:rPr>
          <w:rFonts w:ascii="方正仿宋_GBK" w:eastAsia="方正仿宋_GBK" w:hint="eastAsia"/>
          <w:szCs w:val="32"/>
        </w:rPr>
        <w:t>市政公共设施，如桥梁、城市轨道交通、户外广告牌、照明灯饰设施等；</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7.</w:t>
      </w:r>
      <w:r w:rsidRPr="00C235D5">
        <w:rPr>
          <w:rFonts w:ascii="方正仿宋_GBK" w:eastAsia="方正仿宋_GBK" w:hint="eastAsia"/>
          <w:szCs w:val="32"/>
        </w:rPr>
        <w:t>法律、法规、规章和技术标准规定必须进行雷电防护装置安全性能定期检测的其他设施和场所。</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易燃易爆场所的雷电防护装置每半年检测一次，其他雷电防护装置每年检测一次。</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三、雷电防护装置安全性能定期检测是防雷安全隐患排查的重要手段，雷电防护装置的使用、维护、产权单位（以下简称有关单位）应按照有关法律法规规定，切实履行防</w:t>
      </w:r>
      <w:r w:rsidRPr="00C235D5">
        <w:rPr>
          <w:rFonts w:ascii="方正仿宋_GBK" w:eastAsia="方正仿宋_GBK" w:hint="eastAsia"/>
          <w:szCs w:val="32"/>
        </w:rPr>
        <w:t>雷安全的主体责任，落实雷电防护装置安全性能定期检测规定，委托信誉良好且具有雷电防护装置检测资质的机构实施安全检测，组织做好本单</w:t>
      </w:r>
      <w:r w:rsidRPr="00C235D5">
        <w:rPr>
          <w:rFonts w:ascii="方正仿宋_GBK" w:eastAsia="方正仿宋_GBK" w:hint="eastAsia"/>
          <w:szCs w:val="32"/>
        </w:rPr>
        <w:lastRenderedPageBreak/>
        <w:t>位雷电防护装置的日常维护工作。</w:t>
      </w:r>
    </w:p>
    <w:p w:rsidR="00C235D5" w:rsidRPr="00C235D5" w:rsidRDefault="00F359AA" w:rsidP="00F359AA">
      <w:pPr>
        <w:ind w:firstLineChars="200" w:firstLine="632"/>
        <w:rPr>
          <w:rFonts w:ascii="方正仿宋_GBK" w:eastAsia="方正仿宋_GBK" w:hint="eastAsia"/>
          <w:color w:val="000000"/>
          <w:szCs w:val="32"/>
        </w:rPr>
      </w:pPr>
      <w:r w:rsidRPr="00C235D5">
        <w:rPr>
          <w:rFonts w:ascii="方正仿宋_GBK" w:eastAsia="方正仿宋_GBK" w:hint="eastAsia"/>
          <w:szCs w:val="32"/>
        </w:rPr>
        <w:t>四、雷电防护装置检测机构必须依法持有气象主管机构颁发的雷电防护装置检测资质证，并在资质等级许可的范围内开展各项检测活动。禁止无资质、超资质从事雷电防护装置安全性能检测</w:t>
      </w:r>
      <w:r w:rsidRPr="00C235D5">
        <w:rPr>
          <w:rFonts w:ascii="方正仿宋_GBK" w:eastAsia="方正仿宋_GBK" w:hint="eastAsia"/>
          <w:color w:val="000000"/>
          <w:szCs w:val="32"/>
        </w:rPr>
        <w:t>活动，禁止转包或者违法分包。</w:t>
      </w:r>
    </w:p>
    <w:p w:rsidR="00C235D5" w:rsidRPr="00C235D5" w:rsidRDefault="00F359AA" w:rsidP="00F359AA">
      <w:pPr>
        <w:ind w:firstLineChars="200" w:firstLine="632"/>
        <w:rPr>
          <w:rFonts w:ascii="方正仿宋_GBK" w:eastAsia="方正仿宋_GBK" w:hint="eastAsia"/>
          <w:color w:val="000000"/>
          <w:szCs w:val="32"/>
        </w:rPr>
      </w:pPr>
      <w:r w:rsidRPr="00C235D5">
        <w:rPr>
          <w:rFonts w:ascii="方正仿宋_GBK" w:eastAsia="方正仿宋_GBK" w:hint="eastAsia"/>
          <w:color w:val="000000"/>
          <w:szCs w:val="32"/>
        </w:rPr>
        <w:t>五、雷电防护装置检测机构应当严格执行各项国家、行业和地方技术标准，规范检测流程，逐项落实技术要求，确保服务质量；对于不符合技术规范要求的雷电防护装置，应及时向</w:t>
      </w:r>
      <w:r w:rsidRPr="00C235D5">
        <w:rPr>
          <w:rFonts w:ascii="方正仿宋_GBK" w:eastAsia="方正仿宋_GBK" w:hint="eastAsia"/>
          <w:color w:val="000000"/>
          <w:szCs w:val="32"/>
        </w:rPr>
        <w:t>有关单位提出书面的整改意见，并及时向当地气象主管机构报告。有关单位应依据整改意见，落实整改措施，完善雷电防护装置，消除防雷安全隐患。</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color w:val="000000"/>
          <w:szCs w:val="32"/>
        </w:rPr>
        <w:t>六、雷电防护装置检测机构应当对检测业务受理、检测数据采集、检测报告出具、检测档案管理等检测活动进行记录，并将相关信息录入重庆防雷安全管理平台；开展易燃易爆场所雷电防护装置安全性能检测活动的，应在开展检测活动前，向活动开展所在地气象主管机构报送检测方案。</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七、异地入渝开展雷电防护装置安全性能检测活动的检测机构，应当及时向市气象主管机构报告，并报送检测项目清单。</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color w:val="000000"/>
          <w:szCs w:val="32"/>
        </w:rPr>
        <w:t>八、</w:t>
      </w:r>
      <w:r w:rsidRPr="00C235D5">
        <w:rPr>
          <w:rFonts w:ascii="方正仿宋_GBK" w:eastAsia="方正仿宋_GBK" w:hint="eastAsia"/>
          <w:szCs w:val="32"/>
        </w:rPr>
        <w:t>市气象主管机</w:t>
      </w:r>
      <w:r w:rsidRPr="00C235D5">
        <w:rPr>
          <w:rFonts w:ascii="方正仿宋_GBK" w:eastAsia="方正仿宋_GBK" w:hint="eastAsia"/>
          <w:szCs w:val="32"/>
        </w:rPr>
        <w:t>构将适时会同相关部门按照“党政同责、一岗双责、齐抓共管、失职追责”的要求和“管行业必管安全、管生产必管安全、管业务必管安全”的原则，对雷电防护装置安全性能定期检测工作进行抽查督查，并依据相关法律法规重点对</w:t>
      </w:r>
      <w:r w:rsidRPr="00C235D5">
        <w:rPr>
          <w:rFonts w:ascii="方正仿宋_GBK" w:eastAsia="方正仿宋_GBK" w:hint="eastAsia"/>
          <w:szCs w:val="32"/>
        </w:rPr>
        <w:lastRenderedPageBreak/>
        <w:t>以下行为依法进行处罚：</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1.</w:t>
      </w:r>
      <w:r w:rsidRPr="00C235D5">
        <w:rPr>
          <w:rFonts w:ascii="方正仿宋_GBK" w:eastAsia="方正仿宋_GBK" w:hint="eastAsia"/>
          <w:szCs w:val="32"/>
        </w:rPr>
        <w:t>雷电防护装置安全性能检测工作中弄虚作假的；</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2.</w:t>
      </w:r>
      <w:r w:rsidRPr="00C235D5">
        <w:rPr>
          <w:rFonts w:ascii="方正仿宋_GBK" w:eastAsia="方正仿宋_GBK" w:hint="eastAsia"/>
          <w:szCs w:val="32"/>
        </w:rPr>
        <w:t>无资质、超资质从事雷电防护装置安全性能检测的；</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3.</w:t>
      </w:r>
      <w:r w:rsidRPr="00C235D5">
        <w:rPr>
          <w:rFonts w:ascii="方正仿宋_GBK" w:eastAsia="方正仿宋_GBK" w:hint="eastAsia"/>
          <w:szCs w:val="32"/>
        </w:rPr>
        <w:t>有关单位未依法组织开展雷电防护装置安全性能定期检测的；</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4.</w:t>
      </w:r>
      <w:r w:rsidRPr="00C235D5">
        <w:rPr>
          <w:rFonts w:ascii="方正仿宋_GBK" w:eastAsia="方正仿宋_GBK" w:hint="eastAsia"/>
          <w:szCs w:val="32"/>
        </w:rPr>
        <w:t>经检测不合格又拒不整改的。</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凡因雷电防护装置不合格造成雷击火灾、爆炸、人员伤亡或重大国家财产损失的，将依法追究有关单位和</w:t>
      </w:r>
      <w:r w:rsidRPr="00C235D5">
        <w:rPr>
          <w:rFonts w:ascii="方正仿宋_GBK" w:eastAsia="方正仿宋_GBK" w:hint="eastAsia"/>
          <w:szCs w:val="32"/>
        </w:rPr>
        <w:t>责任人员的法律责任。</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九、各有关单位可在市气象主管机构官方网站（</w:t>
      </w:r>
      <w:r w:rsidRPr="00C235D5">
        <w:rPr>
          <w:rFonts w:ascii="方正仿宋_GBK" w:eastAsia="方正仿宋_GBK" w:hint="eastAsia"/>
          <w:szCs w:val="32"/>
        </w:rPr>
        <w:t>cq.cma.gov.cn</w:t>
      </w:r>
      <w:r w:rsidRPr="00C235D5">
        <w:rPr>
          <w:rFonts w:ascii="方正仿宋_GBK" w:eastAsia="方正仿宋_GBK" w:hint="eastAsia"/>
          <w:szCs w:val="32"/>
        </w:rPr>
        <w:t>）上查询具有雷电防护装置检测资质的单位名单，若有疑问可向市气象主管机构或当地气象主管机构咨询。</w:t>
      </w:r>
    </w:p>
    <w:p w:rsidR="00C235D5" w:rsidRPr="00C235D5" w:rsidRDefault="00F359AA" w:rsidP="00F359AA">
      <w:pPr>
        <w:ind w:firstLineChars="200" w:firstLine="632"/>
        <w:rPr>
          <w:rFonts w:ascii="方正仿宋_GBK" w:eastAsia="方正仿宋_GBK" w:hint="eastAsia"/>
          <w:szCs w:val="32"/>
        </w:rPr>
      </w:pPr>
      <w:r w:rsidRPr="00C235D5">
        <w:rPr>
          <w:rFonts w:ascii="方正仿宋_GBK" w:eastAsia="方正仿宋_GBK" w:hint="eastAsia"/>
          <w:szCs w:val="32"/>
        </w:rPr>
        <w:t>特此通知。</w:t>
      </w:r>
    </w:p>
    <w:p w:rsidR="00C235D5" w:rsidRPr="00C235D5" w:rsidRDefault="00F359AA" w:rsidP="00AF1C93">
      <w:pPr>
        <w:snapToGrid w:val="0"/>
        <w:spacing w:line="576" w:lineRule="exact"/>
        <w:ind w:right="23"/>
        <w:jc w:val="left"/>
        <w:rPr>
          <w:rFonts w:ascii="方正仿宋_GBK" w:eastAsia="方正仿宋_GBK" w:hint="eastAsia"/>
          <w:color w:val="FFFFFF"/>
          <w:spacing w:val="-6"/>
          <w:szCs w:val="32"/>
        </w:rPr>
      </w:pPr>
    </w:p>
    <w:p w:rsidR="00C235D5" w:rsidRPr="00C235D5" w:rsidRDefault="00F359AA" w:rsidP="00C235D5">
      <w:pPr>
        <w:snapToGrid w:val="0"/>
        <w:spacing w:line="576" w:lineRule="exact"/>
        <w:rPr>
          <w:rFonts w:ascii="方正仿宋_GBK" w:eastAsia="方正仿宋_GBK" w:hint="eastAsia"/>
          <w:spacing w:val="-6"/>
        </w:rPr>
      </w:pPr>
    </w:p>
    <w:p w:rsidR="00C235D5" w:rsidRPr="00C235D5" w:rsidRDefault="00F359AA" w:rsidP="00C235D5">
      <w:pPr>
        <w:snapToGrid w:val="0"/>
        <w:spacing w:line="576" w:lineRule="exact"/>
        <w:ind w:right="23"/>
        <w:jc w:val="left"/>
        <w:rPr>
          <w:rFonts w:ascii="方正仿宋_GBK" w:eastAsia="方正仿宋_GBK" w:hint="eastAsia"/>
          <w:color w:val="FFFFFF"/>
          <w:spacing w:val="-6"/>
          <w:szCs w:val="32"/>
        </w:rPr>
      </w:pPr>
      <w:r w:rsidRPr="00C235D5">
        <w:rPr>
          <w:rFonts w:ascii="方正仿宋_GBK" w:eastAsia="方正仿宋_GBK" w:hAnsi="宋体" w:hint="eastAsia"/>
          <w:spacing w:val="-6"/>
          <w:lang w:val="en-US" w:eastAsia="zh-CN"/>
        </w:rPr>
        <w:pict>
          <v:shape id="文本框 2" o:spid="_x0000_s1029" type="#_x0000_t202" style="position:absolute;margin-left:2in;margin-top:24.2pt;width:342pt;height:40.25pt;z-index:251662336;mso-width-relative:margin;mso-height-relative:margin" stroked="f" strokecolor="white">
            <v:fill opacity="0"/>
            <v:textbox>
              <w:txbxContent>
                <w:p w:rsidR="00C235D5" w:rsidRDefault="00F359AA" w:rsidP="00C235D5">
                  <w:pPr>
                    <w:jc w:val="center"/>
                    <w:rPr>
                      <w:rFonts w:hint="eastAsia"/>
                    </w:rPr>
                  </w:pPr>
                  <w:bookmarkStart w:id="7" w:name="落款"/>
                  <w:bookmarkEnd w:id="7"/>
                  <w:r>
                    <w:rPr>
                      <w:rFonts w:hint="eastAsia"/>
                    </w:rPr>
                    <w:t>重庆市气象局</w:t>
                  </w:r>
                </w:p>
              </w:txbxContent>
            </v:textbox>
          </v:shape>
        </w:pict>
      </w:r>
      <w:r w:rsidRPr="00C235D5">
        <w:rPr>
          <w:rFonts w:ascii="方正仿宋_GBK" w:eastAsia="方正仿宋_GBK" w:hint="eastAsia"/>
          <w:spacing w:val="-6"/>
        </w:rPr>
        <w:t xml:space="preserve">                                        </w:t>
      </w:r>
    </w:p>
    <w:p w:rsidR="00C235D5" w:rsidRPr="00C235D5" w:rsidRDefault="00F359AA" w:rsidP="00F359AA">
      <w:pPr>
        <w:snapToGrid w:val="0"/>
        <w:spacing w:line="576" w:lineRule="exact"/>
        <w:ind w:rightChars="155" w:right="490"/>
        <w:rPr>
          <w:rFonts w:ascii="方正仿宋_GBK" w:eastAsia="方正仿宋_GBK" w:hint="eastAsia"/>
          <w:spacing w:val="-6"/>
        </w:rPr>
      </w:pPr>
    </w:p>
    <w:p w:rsidR="00C235D5" w:rsidRPr="00C235D5" w:rsidRDefault="00F359AA" w:rsidP="00F359AA">
      <w:pPr>
        <w:snapToGrid w:val="0"/>
        <w:spacing w:line="576" w:lineRule="exact"/>
        <w:ind w:rightChars="400" w:right="1263"/>
        <w:rPr>
          <w:rFonts w:ascii="方正仿宋_GBK" w:eastAsia="方正仿宋_GBK" w:hint="eastAsia"/>
        </w:rPr>
      </w:pPr>
      <w:r w:rsidRPr="00C235D5">
        <w:rPr>
          <w:rFonts w:ascii="方正仿宋_GBK" w:eastAsia="方正仿宋_GBK" w:hint="eastAsia"/>
          <w:spacing w:val="-6"/>
        </w:rPr>
        <w:t xml:space="preserve">                                   </w:t>
      </w:r>
      <w:bookmarkStart w:id="8" w:name="签发日期"/>
      <w:bookmarkEnd w:id="8"/>
      <w:r w:rsidRPr="00C235D5">
        <w:rPr>
          <w:rFonts w:ascii="方正仿宋_GBK" w:eastAsia="方正仿宋_GBK" w:hint="eastAsia"/>
          <w:spacing w:val="-6"/>
        </w:rPr>
        <w:t>2021</w:t>
      </w:r>
      <w:r w:rsidRPr="00C235D5">
        <w:rPr>
          <w:rFonts w:ascii="方正仿宋_GBK" w:eastAsia="方正仿宋_GBK" w:hint="eastAsia"/>
          <w:spacing w:val="-6"/>
        </w:rPr>
        <w:t>年</w:t>
      </w:r>
      <w:r w:rsidRPr="00C235D5">
        <w:rPr>
          <w:rFonts w:ascii="方正仿宋_GBK" w:eastAsia="方正仿宋_GBK" w:hint="eastAsia"/>
          <w:spacing w:val="-6"/>
        </w:rPr>
        <w:t>2</w:t>
      </w:r>
      <w:r w:rsidRPr="00C235D5">
        <w:rPr>
          <w:rFonts w:ascii="方正仿宋_GBK" w:eastAsia="方正仿宋_GBK" w:hint="eastAsia"/>
          <w:spacing w:val="-6"/>
        </w:rPr>
        <w:t>月</w:t>
      </w:r>
      <w:r w:rsidRPr="00C235D5">
        <w:rPr>
          <w:rFonts w:ascii="方正仿宋_GBK" w:eastAsia="方正仿宋_GBK" w:hint="eastAsia"/>
          <w:spacing w:val="-6"/>
        </w:rPr>
        <w:t>23</w:t>
      </w:r>
      <w:r w:rsidRPr="00C235D5">
        <w:rPr>
          <w:rFonts w:ascii="方正仿宋_GBK" w:eastAsia="方正仿宋_GBK" w:hint="eastAsia"/>
          <w:spacing w:val="-6"/>
        </w:rPr>
        <w:t>日</w:t>
      </w:r>
    </w:p>
    <w:p w:rsidR="00C235D5" w:rsidRPr="00C235D5" w:rsidRDefault="00F359AA" w:rsidP="00F359AA">
      <w:pPr>
        <w:ind w:firstLineChars="200" w:firstLine="632"/>
        <w:rPr>
          <w:rFonts w:ascii="方正仿宋_GBK" w:eastAsia="方正仿宋_GBK" w:hint="eastAsia"/>
          <w:szCs w:val="32"/>
        </w:rPr>
      </w:pPr>
      <w:bookmarkStart w:id="9" w:name="_GoBack"/>
      <w:r w:rsidRPr="00C235D5">
        <w:rPr>
          <w:rFonts w:ascii="方正仿宋_GBK" w:eastAsia="方正仿宋_GBK" w:hint="eastAsia"/>
          <w:szCs w:val="32"/>
        </w:rPr>
        <w:t>（联系人：陈猛，联系电话：</w:t>
      </w:r>
      <w:r w:rsidRPr="00C235D5">
        <w:rPr>
          <w:rFonts w:ascii="方正仿宋_GBK" w:eastAsia="方正仿宋_GBK" w:hint="eastAsia"/>
          <w:szCs w:val="32"/>
        </w:rPr>
        <w:t>023-89116208</w:t>
      </w:r>
      <w:r w:rsidRPr="00C235D5">
        <w:rPr>
          <w:rFonts w:ascii="方正仿宋_GBK" w:eastAsia="方正仿宋_GBK" w:hint="eastAsia"/>
          <w:szCs w:val="32"/>
        </w:rPr>
        <w:t>）</w:t>
      </w:r>
    </w:p>
    <w:p w:rsidR="00AF1C93" w:rsidRPr="00C235D5" w:rsidRDefault="00F359AA" w:rsidP="00F359AA">
      <w:pPr>
        <w:snapToGrid w:val="0"/>
        <w:spacing w:line="576" w:lineRule="exact"/>
        <w:ind w:rightChars="400" w:right="1263"/>
        <w:rPr>
          <w:rFonts w:ascii="方正仿宋_GBK" w:eastAsia="方正仿宋_GBK" w:hint="eastAsia"/>
          <w:spacing w:val="-6"/>
        </w:rPr>
      </w:pPr>
      <w:bookmarkStart w:id="10" w:name="附件名称"/>
      <w:bookmarkStart w:id="11" w:name="附件"/>
      <w:bookmarkEnd w:id="10"/>
      <w:bookmarkEnd w:id="11"/>
      <w:bookmarkEnd w:id="9"/>
      <w:r w:rsidRPr="00C235D5">
        <w:rPr>
          <w:rFonts w:ascii="方正仿宋_GBK" w:eastAsia="方正仿宋_GBK" w:hint="eastAsia"/>
          <w:lang w:val="en-US" w:eastAsia="zh-CN"/>
        </w:rPr>
        <w:pict>
          <v:shape id="文本框 9" o:spid="_x0000_s1030" type="#_x0000_t202" style="position:absolute;left:0;text-align:left;margin-left:263.6pt;margin-top:712.45pt;width:168.4pt;height:28.35pt;z-index:251659264;mso-position-vertical-relative:page" filled="f" stroked="f">
            <v:textbox inset="0,0,0,0">
              <w:txbxContent>
                <w:p w:rsidR="00AF1C93" w:rsidRDefault="00F359AA">
                  <w:pPr>
                    <w:tabs>
                      <w:tab w:val="left" w:pos="8460"/>
                    </w:tabs>
                    <w:wordWrap w:val="0"/>
                    <w:spacing w:line="500" w:lineRule="exact"/>
                    <w:jc w:val="right"/>
                    <w:rPr>
                      <w:sz w:val="28"/>
                      <w:szCs w:val="28"/>
                    </w:rPr>
                  </w:pPr>
                  <w:bookmarkStart w:id="12" w:name="印发日期"/>
                  <w:bookmarkEnd w:id="12"/>
                  <w:r>
                    <w:rPr>
                      <w:rFonts w:ascii="仿宋_GB2312" w:hint="eastAsia"/>
                      <w:sz w:val="28"/>
                      <w:szCs w:val="28"/>
                    </w:rPr>
                    <w:t>2021</w:t>
                  </w:r>
                  <w:r>
                    <w:rPr>
                      <w:rFonts w:ascii="仿宋_GB2312" w:hint="eastAsia"/>
                      <w:sz w:val="28"/>
                      <w:szCs w:val="28"/>
                    </w:rPr>
                    <w:t>年</w:t>
                  </w:r>
                  <w:r>
                    <w:rPr>
                      <w:rFonts w:ascii="仿宋_GB2312" w:hint="eastAsia"/>
                      <w:sz w:val="28"/>
                      <w:szCs w:val="28"/>
                    </w:rPr>
                    <w:t>2</w:t>
                  </w:r>
                  <w:r>
                    <w:rPr>
                      <w:rFonts w:ascii="仿宋_GB2312" w:hint="eastAsia"/>
                      <w:sz w:val="28"/>
                      <w:szCs w:val="28"/>
                    </w:rPr>
                    <w:t>月</w:t>
                  </w:r>
                  <w:r>
                    <w:rPr>
                      <w:rFonts w:ascii="仿宋_GB2312" w:hint="eastAsia"/>
                      <w:sz w:val="28"/>
                      <w:szCs w:val="28"/>
                    </w:rPr>
                    <w:t>23</w:t>
                  </w:r>
                  <w:r>
                    <w:rPr>
                      <w:rFonts w:ascii="仿宋_GB2312" w:hint="eastAsia"/>
                      <w:sz w:val="28"/>
                      <w:szCs w:val="28"/>
                    </w:rPr>
                    <w:t>日</w:t>
                  </w:r>
                  <w:r>
                    <w:rPr>
                      <w:rFonts w:ascii="仿宋_GB2312" w:hint="eastAsia"/>
                      <w:sz w:val="28"/>
                      <w:szCs w:val="28"/>
                    </w:rPr>
                    <w:t>印发</w:t>
                  </w:r>
                  <w:r>
                    <w:rPr>
                      <w:rFonts w:ascii="仿宋_GB2312" w:hint="eastAsia"/>
                      <w:sz w:val="28"/>
                      <w:szCs w:val="28"/>
                    </w:rPr>
                    <w:t xml:space="preserve"> </w:t>
                  </w:r>
                </w:p>
              </w:txbxContent>
            </v:textbox>
            <w10:wrap type="topAndBottom" anchory="page"/>
          </v:shape>
        </w:pict>
      </w:r>
      <w:r w:rsidRPr="00C235D5">
        <w:rPr>
          <w:rFonts w:ascii="方正仿宋_GBK" w:eastAsia="方正仿宋_GBK" w:hint="eastAsia"/>
          <w:lang w:val="en-US" w:eastAsia="zh-CN"/>
        </w:rPr>
        <w:pict>
          <v:line id="直线 5" o:spid="_x0000_s1031" style="position:absolute;left:0;text-align:left;z-index:251658240;mso-position-vertical-relative:page" from=".25pt,742.6pt" to="442.45pt,742.6pt" strokeweight=".85pt">
            <w10:wrap type="topAndBottom" anchory="page"/>
          </v:line>
        </w:pict>
      </w:r>
      <w:r w:rsidRPr="00C235D5">
        <w:rPr>
          <w:rFonts w:ascii="方正仿宋_GBK" w:eastAsia="方正仿宋_GBK" w:hint="eastAsia"/>
          <w:lang w:val="en-US" w:eastAsia="zh-CN"/>
        </w:rPr>
        <w:pict>
          <v:line id="直线 3" o:spid="_x0000_s1032" style="position:absolute;left:0;text-align:left;z-index:251657216;mso-position-vertical-relative:page" from=".25pt,711.85pt" to="442.45pt,711.85pt" strokeweight=".85pt">
            <w10:wrap type="topAndBottom" anchory="page"/>
          </v:line>
        </w:pict>
      </w:r>
      <w:r w:rsidRPr="00C235D5">
        <w:rPr>
          <w:rFonts w:ascii="方正仿宋_GBK" w:eastAsia="方正仿宋_GBK" w:hint="eastAsia"/>
          <w:lang w:val="en-US" w:eastAsia="zh-CN"/>
        </w:rPr>
        <w:pict>
          <v:shape id="文本框 10" o:spid="_x0000_s1033" type="#_x0000_t202" style="position:absolute;left:0;text-align:left;margin-left:12.75pt;margin-top:711.85pt;width:256.15pt;height:28.35pt;z-index:251660288;mso-position-vertical-relative:page" filled="f" stroked="f">
            <v:textbox inset="0,0,0,0">
              <w:txbxContent>
                <w:p w:rsidR="00AF1C93" w:rsidRDefault="00F359AA">
                  <w:pPr>
                    <w:tabs>
                      <w:tab w:val="left" w:pos="8460"/>
                    </w:tabs>
                    <w:spacing w:line="500" w:lineRule="exact"/>
                    <w:rPr>
                      <w:sz w:val="28"/>
                      <w:szCs w:val="28"/>
                    </w:rPr>
                  </w:pPr>
                  <w:bookmarkStart w:id="13" w:name="版记"/>
                  <w:bookmarkEnd w:id="13"/>
                  <w:r>
                    <w:rPr>
                      <w:rFonts w:hint="eastAsia"/>
                      <w:sz w:val="28"/>
                      <w:szCs w:val="28"/>
                    </w:rPr>
                    <w:t>重庆市气象局办公室</w:t>
                  </w:r>
                </w:p>
              </w:txbxContent>
            </v:textbox>
            <w10:wrap type="topAndBottom" anchory="page"/>
          </v:shape>
        </w:pict>
      </w:r>
      <w:r w:rsidRPr="00C235D5">
        <w:rPr>
          <w:rFonts w:ascii="方正仿宋_GBK" w:eastAsia="方正仿宋_GBK" w:hint="eastAsia"/>
          <w:lang w:val="en-US" w:eastAsia="zh-CN"/>
        </w:rPr>
        <w:pict>
          <v:shape id="文本框 11" o:spid="_x0000_s1034" type="#_x0000_t202" style="position:absolute;left:0;text-align:left;margin-left:12.75pt;margin-top:683.8pt;width:248.05pt;height:28.35pt;z-index:251661312;mso-position-vertical-relative:page" filled="f" stroked="f">
            <v:textbox inset="0,0,0,0">
              <w:txbxContent>
                <w:p w:rsidR="00AF1C93" w:rsidRDefault="00F359AA">
                  <w:pPr>
                    <w:tabs>
                      <w:tab w:val="left" w:pos="8460"/>
                    </w:tabs>
                    <w:spacing w:line="500" w:lineRule="exact"/>
                    <w:rPr>
                      <w:rFonts w:hint="eastAsia"/>
                      <w:sz w:val="28"/>
                      <w:szCs w:val="28"/>
                    </w:rPr>
                  </w:pPr>
                  <w:bookmarkStart w:id="14" w:name="是否公开"/>
                  <w:bookmarkEnd w:id="14"/>
                </w:p>
              </w:txbxContent>
            </v:textbox>
            <w10:wrap type="topAndBottom" anchory="page"/>
          </v:shape>
        </w:pict>
      </w:r>
    </w:p>
    <w:sectPr w:rsidR="00AF1C93" w:rsidRPr="00C235D5">
      <w:headerReference w:type="default" r:id="rId7"/>
      <w:footerReference w:type="even" r:id="rId8"/>
      <w:footerReference w:type="default" r:id="rId9"/>
      <w:pgSz w:w="11906" w:h="16838"/>
      <w:pgMar w:top="2132" w:right="1503" w:bottom="2002" w:left="1548" w:header="851" w:footer="1418" w:gutter="0"/>
      <w:pgNumType w:chapSep="emDash"/>
      <w:cols w:space="720"/>
      <w:docGrid w:type="linesAndChars" w:linePitch="577"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1C93" w:rsidRDefault="00F359AA">
      <w:pPr>
        <w:spacing w:line="240" w:lineRule="auto"/>
      </w:pPr>
      <w:r>
        <w:separator/>
      </w:r>
    </w:p>
  </w:endnote>
  <w:endnote w:type="continuationSeparator" w:id="0">
    <w:p w:rsidR="00AF1C93" w:rsidRDefault="00F359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auto"/>
    <w:pitch w:val="variable"/>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93" w:rsidRDefault="00F359AA">
    <w:pPr>
      <w:pStyle w:val="a3"/>
      <w:framePr w:w="1620" w:wrap="around" w:vAnchor="text" w:hAnchor="page" w:x="1551" w:y="116"/>
      <w:spacing w:line="280" w:lineRule="exact"/>
      <w:ind w:left="340"/>
      <w:rPr>
        <w:rStyle w:val="a6"/>
        <w:sz w:val="28"/>
      </w:rPr>
    </w:pPr>
    <w:r>
      <w:rPr>
        <w:rStyle w:val="a6"/>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Pr>
        <w:rStyle w:val="a6"/>
        <w:rFonts w:ascii="宋体" w:eastAsia="宋体" w:hAnsi="宋体"/>
        <w:noProof/>
        <w:sz w:val="28"/>
      </w:rPr>
      <w:t>4</w:t>
    </w:r>
    <w:r>
      <w:rPr>
        <w:rFonts w:ascii="宋体" w:eastAsia="宋体" w:hAnsi="宋体"/>
        <w:sz w:val="28"/>
      </w:rPr>
      <w:fldChar w:fldCharType="end"/>
    </w:r>
    <w:r>
      <w:rPr>
        <w:rStyle w:val="a6"/>
        <w:sz w:val="28"/>
      </w:rPr>
      <w:t xml:space="preserve"> —</w:t>
    </w:r>
  </w:p>
  <w:p w:rsidR="00AF1C93" w:rsidRDefault="00F359AA">
    <w:pPr>
      <w:pStyle w:val="a3"/>
      <w:tabs>
        <w:tab w:val="clear" w:pos="8306"/>
        <w:tab w:val="right" w:pos="8460"/>
      </w:tabs>
      <w:ind w:right="212"/>
      <w:jc w:val="right"/>
      <w:rPr>
        <w:rFonts w:ascii="仿宋_GB2312"/>
        <w:sz w:val="3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93" w:rsidRDefault="00F359AA">
    <w:pPr>
      <w:pStyle w:val="a3"/>
      <w:framePr w:w="1620" w:wrap="around" w:vAnchor="text" w:hAnchor="page" w:x="8701" w:y="56"/>
      <w:ind w:left="340"/>
      <w:rPr>
        <w:rStyle w:val="a6"/>
        <w:sz w:val="28"/>
      </w:rPr>
    </w:pPr>
    <w:r>
      <w:rPr>
        <w:rStyle w:val="a6"/>
        <w:sz w:val="28"/>
      </w:rPr>
      <w:t xml:space="preserve">— </w:t>
    </w:r>
    <w:r>
      <w:rPr>
        <w:rFonts w:ascii="宋体" w:eastAsia="宋体" w:hAnsi="宋体"/>
        <w:sz w:val="28"/>
      </w:rPr>
      <w:fldChar w:fldCharType="begin"/>
    </w:r>
    <w:r>
      <w:rPr>
        <w:rStyle w:val="a6"/>
        <w:rFonts w:ascii="宋体" w:eastAsia="宋体" w:hAnsi="宋体"/>
        <w:sz w:val="28"/>
      </w:rPr>
      <w:instrText xml:space="preserve">PAGE  </w:instrText>
    </w:r>
    <w:r>
      <w:rPr>
        <w:rFonts w:ascii="宋体" w:eastAsia="宋体" w:hAnsi="宋体"/>
        <w:sz w:val="28"/>
      </w:rPr>
      <w:fldChar w:fldCharType="separate"/>
    </w:r>
    <w:r>
      <w:rPr>
        <w:rStyle w:val="a6"/>
        <w:rFonts w:ascii="宋体" w:eastAsia="宋体" w:hAnsi="宋体"/>
        <w:noProof/>
        <w:sz w:val="28"/>
      </w:rPr>
      <w:t>3</w:t>
    </w:r>
    <w:r>
      <w:rPr>
        <w:rFonts w:ascii="宋体" w:eastAsia="宋体" w:hAnsi="宋体"/>
        <w:sz w:val="28"/>
      </w:rPr>
      <w:fldChar w:fldCharType="end"/>
    </w:r>
    <w:r>
      <w:rPr>
        <w:rStyle w:val="a6"/>
        <w:sz w:val="28"/>
      </w:rPr>
      <w:t xml:space="preserve"> —</w:t>
    </w:r>
  </w:p>
  <w:p w:rsidR="00AF1C93" w:rsidRDefault="00F359AA">
    <w:pPr>
      <w:pStyle w:val="a3"/>
      <w:ind w:right="360"/>
      <w:rPr>
        <w:rFonts w:ascii="仿宋_GB2312"/>
        <w:sz w:val="3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1C93" w:rsidRDefault="00F359AA">
      <w:pPr>
        <w:spacing w:line="240" w:lineRule="auto"/>
      </w:pPr>
      <w:r>
        <w:separator/>
      </w:r>
    </w:p>
  </w:footnote>
  <w:footnote w:type="continuationSeparator" w:id="0">
    <w:p w:rsidR="00AF1C93" w:rsidRDefault="00F359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1C93" w:rsidRDefault="00F359AA">
    <w:pPr>
      <w:pStyle w:val="a4"/>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attachedTemplate r:id="rId1"/>
  <w:revisionView w:markup="0"/>
  <w:doNotTrackMoves/>
  <w:documentProtection w:formatting="1" w:enforcement="0"/>
  <w:defaultTabStop w:val="420"/>
  <w:evenAndOddHeaders/>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65FEB"/>
    <w:rsid w:val="00F359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unhideWhenUsed="0"/>
    <w:lsdException w:name="footer" w:semiHidden="0" w:uiPriority="0" w:unhideWhenUsed="0"/>
    <w:lsdException w:name="caption" w:uiPriority="35" w:qFormat="1"/>
    <w:lsdException w:name="page number" w:semiHidden="0" w:uiPriority="0" w:unhideWhenUsed="0"/>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semiHidden="0" w:uiPriority="5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nhideWhenUsed="0" w:qFormat="1"/>
    <w:lsdException w:name="Quote" w:semiHidden="0"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spacing w:line="560" w:lineRule="exact"/>
      <w:jc w:val="both"/>
    </w:pPr>
    <w:rPr>
      <w:rFonts w:ascii="Times New Roman" w:eastAsia="仿宋_GB2312" w:hAnsi="Times New Roman"/>
      <w:kern w:val="2"/>
      <w:sz w:val="32"/>
    </w:rPr>
  </w:style>
  <w:style w:type="character" w:default="1" w:styleId="a0">
    <w:name w:val="Default Paragraph Font"/>
    <w:uiPriority w:val="1"/>
    <w:unhideWhenUsed/>
  </w:style>
  <w:style w:type="table" w:default="1" w:styleId="a1">
    <w:name w:val="Normal Table"/>
    <w:uiPriority w:val="99"/>
    <w:unhideWhenUsed/>
    <w:qFormat/>
    <w:tblPr>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pPr>
      <w:tabs>
        <w:tab w:val="center" w:pos="4153"/>
        <w:tab w:val="right" w:pos="8306"/>
      </w:tabs>
      <w:snapToGrid w:val="0"/>
      <w:spacing w:line="240" w:lineRule="atLeast"/>
      <w:jc w:val="left"/>
    </w:pPr>
    <w:rPr>
      <w:kern w:val="0"/>
      <w:sz w:val="18"/>
      <w:szCs w:val="18"/>
    </w:rPr>
  </w:style>
  <w:style w:type="character" w:customStyle="1" w:styleId="Char">
    <w:name w:val="页脚 Char"/>
    <w:link w:val="a3"/>
    <w:rPr>
      <w:rFonts w:ascii="Times New Roman" w:eastAsia="仿宋_GB2312" w:hAnsi="Times New Roman" w:cs="Times New Roman"/>
      <w:sz w:val="18"/>
      <w:szCs w:val="18"/>
    </w:rPr>
  </w:style>
  <w:style w:type="paragraph" w:styleId="a4">
    <w:name w:val="header"/>
    <w:basedOn w:val="a"/>
    <w:link w:val="Char0"/>
    <w:pPr>
      <w:pBdr>
        <w:bottom w:val="single" w:sz="6" w:space="1" w:color="auto"/>
      </w:pBdr>
      <w:tabs>
        <w:tab w:val="center" w:pos="4153"/>
        <w:tab w:val="right" w:pos="8306"/>
      </w:tabs>
      <w:snapToGrid w:val="0"/>
      <w:spacing w:line="240" w:lineRule="atLeast"/>
      <w:jc w:val="center"/>
    </w:pPr>
    <w:rPr>
      <w:kern w:val="0"/>
      <w:sz w:val="18"/>
      <w:szCs w:val="18"/>
    </w:rPr>
  </w:style>
  <w:style w:type="character" w:customStyle="1" w:styleId="Char0">
    <w:name w:val="页眉 Char"/>
    <w:link w:val="a4"/>
    <w:rPr>
      <w:rFonts w:ascii="Times New Roman" w:eastAsia="仿宋_GB2312" w:hAnsi="Times New Roman" w:cs="Times New Roman"/>
      <w:sz w:val="18"/>
      <w:szCs w:val="18"/>
    </w:rPr>
  </w:style>
  <w:style w:type="table" w:styleId="a5">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6">
    <w:name w:val="page numbe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soa\wdzx97.do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wdzx97</Template>
  <TotalTime>0</TotalTime>
  <Pages>4</Pages>
  <Words>262</Words>
  <Characters>1497</Characters>
  <Application>Microsoft Office Word</Application>
  <DocSecurity>0</DocSecurity>
  <Lines>12</Lines>
  <Paragraphs>3</Paragraphs>
  <ScaleCrop>false</ScaleCrop>
  <Company/>
  <LinksUpToDate>false</LinksUpToDate>
  <CharactersWithSpaces>1756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郑颖慧</cp:lastModifiedBy>
  <cp:revision>2</cp:revision>
  <cp:lastPrinted>1601-01-01T00:00:00Z</cp:lastPrinted>
  <dcterms:created xsi:type="dcterms:W3CDTF">2021-02-24T01:40:00Z</dcterms:created>
  <dcterms:modified xsi:type="dcterms:W3CDTF">2021-02-24T01:40:00Z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2052-11.8.2.9958</vt:lpwstr>
  </property>
</Properties>
</file>