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2</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58</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23年03</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w:t>
      </w:r>
      <w:r>
        <w:rPr>
          <w:rFonts w:hint="default" w:ascii="方正仿宋_GBK" w:eastAsia="方正仿宋_GBK"/>
          <w:color w:val="000000" w:themeColor="text1"/>
          <w:spacing w:val="-4"/>
          <w:sz w:val="32"/>
          <w:szCs w:val="32"/>
          <w:lang w:val="en-US" w:eastAsia="zh-CN"/>
          <w14:textFill>
            <w14:solidFill>
              <w14:schemeClr w14:val="tx1"/>
            </w14:solidFill>
          </w14:textFill>
        </w:rPr>
        <w:t>6</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郝秋</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23</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02</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2月，全市各级预警中心通过预警平台发布气象预警信号39期，其中市级发布预警信号0期，区县发布39期（大雾：橙色5期、黄色27期；道路结冰：黄色3期；大风：蓝色2期；雷电：黄色1期，暴雨：蓝色1期）。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textAlignment w:val="auto"/>
        <w:rPr>
          <w:rFonts w:hint="eastAsia" w:ascii="方正仿宋_GBK" w:eastAsia="方正仿宋_GBK"/>
          <w:sz w:val="32"/>
          <w:szCs w:val="32"/>
          <w:lang w:val="en-US" w:eastAsia="zh-CN"/>
        </w:rPr>
      </w:pPr>
      <w:r>
        <w:rPr>
          <w:bdr w:val="single" w:sz="4" w:space="0"/>
        </w:rPr>
        <w:drawing>
          <wp:inline distT="0" distB="0" distL="114300" distR="114300">
            <wp:extent cx="5265420" cy="1604010"/>
            <wp:effectExtent l="0" t="0" r="1143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5420" cy="1604010"/>
                    </a:xfrm>
                    <a:prstGeom prst="rect">
                      <a:avLst/>
                    </a:prstGeom>
                    <a:noFill/>
                    <a:ln>
                      <a:no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2月，全市各区县预警中心没有发布灾害风险超阈值实况信息。</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2月，全市各级预警中心通过预警平台发布气象预警服务信息60期，其中重要气象信息专报45期、雨情通报15期。</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rPr>
          <w:bdr w:val="single" w:sz="4" w:space="0"/>
        </w:rPr>
        <w:drawing>
          <wp:inline distT="0" distB="0" distL="114300" distR="114300">
            <wp:extent cx="5267960" cy="1668780"/>
            <wp:effectExtent l="0" t="0" r="889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7960" cy="1668780"/>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2月，全市气象部门发布预警服务消息1,666条，发送短信767.1万人次；其他部门发布预警服务消息953条，发送短信849.32万人次；乡镇（街道）发布预警服务消息12,538条，发送短信1061.9万人次。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center"/>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表1 部门和乡镇（街道）信息发布详情</w:t>
      </w:r>
    </w:p>
    <w:tbl>
      <w:tblPr>
        <w:tblStyle w:val="3"/>
        <w:tblpPr w:leftFromText="180" w:rightFromText="180" w:vertAnchor="text" w:horzAnchor="page" w:tblpX="1875" w:tblpY="133"/>
        <w:tblOverlap w:val="never"/>
        <w:tblW w:w="81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601"/>
        <w:gridCol w:w="1023"/>
        <w:gridCol w:w="1651"/>
        <w:gridCol w:w="1325"/>
        <w:gridCol w:w="999"/>
        <w:gridCol w:w="15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部门</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条数</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
                <w:bCs/>
                <w:i w:val="0"/>
                <w:color w:val="000000"/>
                <w:kern w:val="2"/>
                <w:sz w:val="24"/>
                <w:szCs w:val="24"/>
              </w:rPr>
            </w:pPr>
            <w:r>
              <w:rPr>
                <w:rFonts w:hint="eastAsia" w:ascii="方正仿宋_GBK" w:hAnsi="方正仿宋_GBK" w:eastAsia="方正仿宋_GBK" w:cs="方正仿宋_GBK"/>
                <w:b/>
                <w:bCs/>
                <w:i w:val="0"/>
                <w:iCs w:val="0"/>
                <w:color w:val="000000"/>
                <w:kern w:val="0"/>
                <w:sz w:val="24"/>
                <w:szCs w:val="24"/>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46"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乡镇（街道）</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12,538</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1,061.9</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规自</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4"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气象</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1,666</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767.1</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文旅</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交通</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199.86</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经信委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0.16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其他</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271</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181.95</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城管</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38"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应急</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112</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4.43</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水利</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农业农村</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135</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2.36</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商委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公安</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191.64</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海事</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0"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住建委</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0.23</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环境</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林业</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63.39</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科委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27"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消防</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32.96</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卫健委</w:t>
            </w: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151.85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160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教育</w:t>
            </w:r>
          </w:p>
        </w:tc>
        <w:tc>
          <w:tcPr>
            <w:tcW w:w="102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165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K" w:hAnsi="方正仿宋_GBK" w:eastAsia="方正仿宋_GBK" w:cs="方正仿宋_GBK"/>
                <w:bCs/>
                <w:i w:val="0"/>
                <w:iCs w:val="0"/>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17.24</w:t>
            </w:r>
          </w:p>
        </w:tc>
        <w:tc>
          <w:tcPr>
            <w:tcW w:w="132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K" w:hAnsi="方正仿宋_GBK" w:eastAsia="方正仿宋_GBK" w:cs="方正仿宋_GBK"/>
                <w:bCs/>
                <w:i w:val="0"/>
                <w:iCs w:val="0"/>
                <w:color w:val="000000"/>
                <w:kern w:val="0"/>
                <w:sz w:val="24"/>
                <w:szCs w:val="24"/>
              </w:rPr>
            </w:pPr>
          </w:p>
        </w:tc>
        <w:tc>
          <w:tcPr>
            <w:tcW w:w="99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K" w:hAnsi="方正仿宋_GBK" w:eastAsia="方正仿宋_GBK" w:cs="方正仿宋_GBK"/>
                <w:bCs/>
                <w:i w:val="0"/>
                <w:iCs w:val="0"/>
                <w:color w:val="000000"/>
                <w:kern w:val="0"/>
                <w:sz w:val="24"/>
                <w:szCs w:val="24"/>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K" w:hAnsi="方正仿宋_GBK" w:eastAsia="方正仿宋_GBK" w:cs="方正仿宋_GBK"/>
                <w:bCs/>
                <w:i w:val="0"/>
                <w:iCs w:val="0"/>
                <w:color w:val="000000"/>
                <w:kern w:val="0"/>
                <w:sz w:val="24"/>
                <w:szCs w:val="24"/>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ind w:firstLine="420" w:firstLineChars="200"/>
        <w:jc w:val="center"/>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r>
        <w:rPr>
          <w:bdr w:val="single" w:sz="4" w:space="0"/>
        </w:rPr>
        <w:drawing>
          <wp:inline distT="0" distB="0" distL="114300" distR="114300">
            <wp:extent cx="5271770" cy="2510790"/>
            <wp:effectExtent l="0" t="0" r="5080" b="381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71770" cy="2510790"/>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hint="eastAsia"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tabs>
          <w:tab w:val="left" w:pos="5171"/>
        </w:tabs>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2月，全市各级预警中心和预警工作站通过预警平台发布预警和服务信息共15,157条，累计发送2,678.32万人次。其中，市预警中心发布各类预警服务信息169条，发送11.93万人次；区县预警中心发布各类预警服务信息1,497条，发送755.17万人次；市、区县部门和乡镇（街道）预警工作站发布各类预警服务信息条13,491条，发送1,911.22万人次。</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val="en-US" w:eastAsia="zh-CN"/>
        </w:rPr>
      </w:pPr>
      <w:r>
        <w:rPr>
          <w:bdr w:val="single" w:sz="4" w:space="0"/>
        </w:rPr>
        <w:drawing>
          <wp:inline distT="0" distB="0" distL="114300" distR="114300">
            <wp:extent cx="5272405" cy="1612265"/>
            <wp:effectExtent l="0" t="0" r="4445" b="698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8"/>
                    <a:stretch>
                      <a:fillRect/>
                    </a:stretch>
                  </pic:blipFill>
                  <pic:spPr>
                    <a:xfrm>
                      <a:off x="0" y="0"/>
                      <a:ext cx="5272405" cy="1612265"/>
                    </a:xfrm>
                    <a:prstGeom prst="rect">
                      <a:avLst/>
                    </a:prstGeom>
                    <a:noFill/>
                    <a:ln>
                      <a:noFill/>
                    </a:ln>
                  </pic:spPr>
                </pic:pic>
              </a:graphicData>
            </a:graphic>
          </wp:inline>
        </w:drawing>
      </w:r>
    </w:p>
    <w:p>
      <w:pPr>
        <w:tabs>
          <w:tab w:val="left" w:pos="5171"/>
        </w:tabs>
        <w:spacing w:line="560" w:lineRule="exact"/>
        <w:jc w:val="center"/>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2月，全市各区县预警中心通过大喇叭发布各类预警服务信息共169条，累计发送40.23万支次。其中合川、大足、璧山、潼南、石柱等区县大喇叭使用较好。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仿宋_GBK" w:eastAsia="方正仿宋_GBK"/>
          <w:sz w:val="32"/>
          <w:szCs w:val="32"/>
          <w:lang w:val="en-US" w:eastAsia="zh-CN"/>
        </w:rPr>
      </w:pPr>
      <w:r>
        <w:rPr>
          <w:bdr w:val="single" w:sz="4" w:space="0"/>
        </w:rPr>
        <w:drawing>
          <wp:inline distT="0" distB="0" distL="114300" distR="114300">
            <wp:extent cx="5271135" cy="1609090"/>
            <wp:effectExtent l="0" t="0" r="5715" b="1016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9"/>
                    <a:stretch>
                      <a:fillRect/>
                    </a:stretch>
                  </pic:blipFill>
                  <pic:spPr>
                    <a:xfrm>
                      <a:off x="0" y="0"/>
                      <a:ext cx="5271135" cy="1609090"/>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2月，全市各区县预警中心通过电子显示屏发布各类预警服务信息共340条，累计发送3.06万块次。其中，黔江、綦江、璧山、铜梁、开州、垫江、忠县、云阳、秀山等区县电子显示屏使用较好。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rPr>
          <w:bdr w:val="single" w:sz="4" w:space="0"/>
        </w:rPr>
        <w:drawing>
          <wp:inline distT="0" distB="0" distL="114300" distR="114300">
            <wp:extent cx="5269230" cy="1654810"/>
            <wp:effectExtent l="0" t="0" r="7620" b="254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0"/>
                    <a:stretch>
                      <a:fillRect/>
                    </a:stretch>
                  </pic:blipFill>
                  <pic:spPr>
                    <a:xfrm>
                      <a:off x="0" y="0"/>
                      <a:ext cx="5269230" cy="1654810"/>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highlight w:val="none"/>
        </w:rPr>
      </w:pPr>
      <w:r>
        <w:rPr>
          <w:rFonts w:hint="eastAsia" w:ascii="方正仿宋_GBK" w:eastAsia="方正仿宋_GBK"/>
          <w:b/>
          <w:bCs/>
          <w:color w:val="auto"/>
          <w:sz w:val="32"/>
          <w:szCs w:val="32"/>
          <w:highlight w:val="none"/>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2月，预警APP注册用户数为8,744人，共推送预警服务信息288条，开州推送最多（56条）。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rPr>
          <w:bdr w:val="single" w:sz="4" w:space="0"/>
        </w:rPr>
        <w:drawing>
          <wp:inline distT="0" distB="0" distL="114300" distR="114300">
            <wp:extent cx="5268595" cy="1673860"/>
            <wp:effectExtent l="0" t="0" r="8255" b="254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1"/>
                    <a:stretch>
                      <a:fillRect/>
                    </a:stretch>
                  </pic:blipFill>
                  <pic:spPr>
                    <a:xfrm>
                      <a:off x="0" y="0"/>
                      <a:ext cx="5268595" cy="1673860"/>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highlight w:val="none"/>
        </w:rPr>
      </w:pPr>
      <w:r>
        <w:rPr>
          <w:rFonts w:hint="eastAsia" w:ascii="方正仿宋_GBK" w:eastAsia="方正仿宋_GBK"/>
          <w:b/>
          <w:bCs/>
          <w:sz w:val="32"/>
          <w:szCs w:val="32"/>
          <w:highlight w:val="none"/>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2月，全市预警微信（含企业号和公众号）关注用户数为10.63万人，共发布预警服务信息508条，璧山区关注用户最多（1.24</w:t>
      </w:r>
      <w:bookmarkStart w:id="0" w:name="_GoBack"/>
      <w:bookmarkEnd w:id="0"/>
      <w:r>
        <w:rPr>
          <w:rFonts w:hint="eastAsia" w:ascii="方正仿宋_GBK" w:eastAsia="方正仿宋_GBK"/>
          <w:color w:val="auto"/>
          <w:sz w:val="32"/>
          <w:szCs w:val="32"/>
          <w:highlight w:val="none"/>
          <w:lang w:val="en-US" w:eastAsia="zh-CN"/>
        </w:rPr>
        <w:t>万人），市级发布信息最多（87条）。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color w:val="auto"/>
          <w:sz w:val="32"/>
          <w:szCs w:val="32"/>
          <w:lang w:val="en-US" w:eastAsia="zh-CN"/>
        </w:rPr>
      </w:pPr>
      <w:r>
        <w:rPr>
          <w:bdr w:val="single" w:sz="4" w:space="0"/>
        </w:rPr>
        <w:drawing>
          <wp:inline distT="0" distB="0" distL="114300" distR="114300">
            <wp:extent cx="5267325" cy="1720850"/>
            <wp:effectExtent l="0" t="0" r="9525" b="1270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12"/>
                    <a:stretch>
                      <a:fillRect/>
                    </a:stretch>
                  </pic:blipFill>
                  <pic:spPr>
                    <a:xfrm>
                      <a:off x="0" y="0"/>
                      <a:ext cx="5267325" cy="1720850"/>
                    </a:xfrm>
                    <a:prstGeom prst="rect">
                      <a:avLst/>
                    </a:prstGeom>
                    <a:noFill/>
                    <a:ln>
                      <a:no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NjNkMTIwMmI2ZmE5NDdmMjg4YjAyMzBjMTkwZTkifQ=="/>
  </w:docVars>
  <w:rsids>
    <w:rsidRoot w:val="41244240"/>
    <w:rsid w:val="00BC57CD"/>
    <w:rsid w:val="01460D48"/>
    <w:rsid w:val="01F73889"/>
    <w:rsid w:val="036540A1"/>
    <w:rsid w:val="049B6848"/>
    <w:rsid w:val="04A22F2C"/>
    <w:rsid w:val="07222D53"/>
    <w:rsid w:val="0831362A"/>
    <w:rsid w:val="0913264A"/>
    <w:rsid w:val="0AB614DF"/>
    <w:rsid w:val="0B411749"/>
    <w:rsid w:val="0C1C0700"/>
    <w:rsid w:val="0CDE6ACB"/>
    <w:rsid w:val="0DD57ECE"/>
    <w:rsid w:val="0FC24358"/>
    <w:rsid w:val="10033A00"/>
    <w:rsid w:val="106B4B1A"/>
    <w:rsid w:val="10B834C4"/>
    <w:rsid w:val="10BD19B4"/>
    <w:rsid w:val="10D17073"/>
    <w:rsid w:val="117C3AB7"/>
    <w:rsid w:val="12C10A21"/>
    <w:rsid w:val="158D3899"/>
    <w:rsid w:val="15FB504F"/>
    <w:rsid w:val="17BA0889"/>
    <w:rsid w:val="19AC4C35"/>
    <w:rsid w:val="19C71013"/>
    <w:rsid w:val="19E740DD"/>
    <w:rsid w:val="1AF54722"/>
    <w:rsid w:val="1B8847D2"/>
    <w:rsid w:val="1C217D49"/>
    <w:rsid w:val="1E9F434C"/>
    <w:rsid w:val="1EE35ABF"/>
    <w:rsid w:val="20657105"/>
    <w:rsid w:val="217445C7"/>
    <w:rsid w:val="2298179E"/>
    <w:rsid w:val="23B73B60"/>
    <w:rsid w:val="23CD0422"/>
    <w:rsid w:val="243948BB"/>
    <w:rsid w:val="258F5A40"/>
    <w:rsid w:val="26625A2E"/>
    <w:rsid w:val="26B66697"/>
    <w:rsid w:val="295A69B3"/>
    <w:rsid w:val="2D542766"/>
    <w:rsid w:val="2DC72F38"/>
    <w:rsid w:val="2E222864"/>
    <w:rsid w:val="2F263F32"/>
    <w:rsid w:val="2F577104"/>
    <w:rsid w:val="320C2B23"/>
    <w:rsid w:val="33A37FA3"/>
    <w:rsid w:val="33CF2B46"/>
    <w:rsid w:val="347D0487"/>
    <w:rsid w:val="350A0EC9"/>
    <w:rsid w:val="36147B1B"/>
    <w:rsid w:val="377072F5"/>
    <w:rsid w:val="37D2418D"/>
    <w:rsid w:val="380167DC"/>
    <w:rsid w:val="38832A24"/>
    <w:rsid w:val="38843E83"/>
    <w:rsid w:val="389D7980"/>
    <w:rsid w:val="38EB045F"/>
    <w:rsid w:val="3C630B25"/>
    <w:rsid w:val="3C6B187A"/>
    <w:rsid w:val="3C8B6F93"/>
    <w:rsid w:val="3D721AC7"/>
    <w:rsid w:val="3D9039BE"/>
    <w:rsid w:val="41244240"/>
    <w:rsid w:val="45C312D5"/>
    <w:rsid w:val="46B104EC"/>
    <w:rsid w:val="48454456"/>
    <w:rsid w:val="48E00EFA"/>
    <w:rsid w:val="4981039D"/>
    <w:rsid w:val="4A340A43"/>
    <w:rsid w:val="4B190EDE"/>
    <w:rsid w:val="4C0970ED"/>
    <w:rsid w:val="4C5B5044"/>
    <w:rsid w:val="4CB251D5"/>
    <w:rsid w:val="4EA04535"/>
    <w:rsid w:val="4F5166AD"/>
    <w:rsid w:val="4F9F38BD"/>
    <w:rsid w:val="50A70C7B"/>
    <w:rsid w:val="514B3CFC"/>
    <w:rsid w:val="52BF7DD2"/>
    <w:rsid w:val="53F20C31"/>
    <w:rsid w:val="56586573"/>
    <w:rsid w:val="590A0028"/>
    <w:rsid w:val="59DD1418"/>
    <w:rsid w:val="5A086C57"/>
    <w:rsid w:val="5A1C7D61"/>
    <w:rsid w:val="5A924CC9"/>
    <w:rsid w:val="5C713C9B"/>
    <w:rsid w:val="5D101956"/>
    <w:rsid w:val="5EFA466C"/>
    <w:rsid w:val="605C4EB2"/>
    <w:rsid w:val="613F280A"/>
    <w:rsid w:val="615F45CF"/>
    <w:rsid w:val="622F5012"/>
    <w:rsid w:val="62D4413E"/>
    <w:rsid w:val="63C91125"/>
    <w:rsid w:val="69461862"/>
    <w:rsid w:val="6A4F7BE8"/>
    <w:rsid w:val="6E306FBF"/>
    <w:rsid w:val="6EDD5132"/>
    <w:rsid w:val="6EE0327C"/>
    <w:rsid w:val="72477770"/>
    <w:rsid w:val="754937FF"/>
    <w:rsid w:val="754F5977"/>
    <w:rsid w:val="75622783"/>
    <w:rsid w:val="75792336"/>
    <w:rsid w:val="759E76F0"/>
    <w:rsid w:val="76A07D97"/>
    <w:rsid w:val="774A4518"/>
    <w:rsid w:val="77A71413"/>
    <w:rsid w:val="797864E1"/>
    <w:rsid w:val="79EA2C9A"/>
    <w:rsid w:val="7C541407"/>
    <w:rsid w:val="7C75137E"/>
    <w:rsid w:val="7E4415DB"/>
    <w:rsid w:val="7E9F0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1053</Words>
  <Characters>1288</Characters>
  <Lines>1</Lines>
  <Paragraphs>1</Paragraphs>
  <TotalTime>113</TotalTime>
  <ScaleCrop>false</ScaleCrop>
  <LinksUpToDate>false</LinksUpToDate>
  <CharactersWithSpaces>1328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过往云烟</cp:lastModifiedBy>
  <cp:lastPrinted>2023-01-05T07:15:00Z</cp:lastPrinted>
  <dcterms:modified xsi:type="dcterms:W3CDTF">2023-03-06T02:47:24Z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4562E2B35DCF4324803843D53F61C205</vt:lpwstr>
  </property>
</Properties>
</file>