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distribute"/>
        <w:rPr>
          <w:rFonts w:ascii="方正小标宋简体" w:eastAsia="方正小标宋简体"/>
          <w:b/>
          <w:snapToGrid w:val="0"/>
          <w:color w:val="FF0000"/>
          <w:spacing w:val="-36"/>
          <w:w w:val="50"/>
          <w:kern w:val="16"/>
          <w:sz w:val="84"/>
          <w:szCs w:val="84"/>
        </w:rPr>
      </w:pPr>
      <w:r>
        <w:rPr>
          <w:rFonts w:hint="eastAsia" w:ascii="方正小标宋简体" w:eastAsia="方正小标宋简体"/>
          <w:b/>
          <w:snapToGrid w:val="0"/>
          <w:color w:val="FF0000"/>
          <w:spacing w:val="-36"/>
          <w:w w:val="50"/>
          <w:kern w:val="16"/>
          <w:sz w:val="84"/>
          <w:szCs w:val="84"/>
        </w:rPr>
        <w:t>重庆市预警信息发布业务月报</w:t>
      </w:r>
    </w:p>
    <w:p>
      <w:pPr>
        <w:jc w:val="center"/>
        <w:rPr>
          <w:rFonts w:ascii="方正仿宋_GBK" w:eastAsia="方正仿宋_GBK"/>
          <w:color w:val="000000" w:themeColor="text1"/>
          <w:spacing w:val="-4"/>
          <w:sz w:val="32"/>
          <w:szCs w:val="32"/>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第</w:t>
      </w:r>
      <w:r>
        <w:rPr>
          <w:rFonts w:hint="eastAsia" w:ascii="方正仿宋_GBK" w:eastAsia="方正仿宋_GBK"/>
          <w:color w:val="000000" w:themeColor="text1"/>
          <w:spacing w:val="-4"/>
          <w:sz w:val="32"/>
          <w:szCs w:val="32"/>
          <w:lang w:val="en-US" w:eastAsia="zh-CN"/>
          <w14:textFill>
            <w14:solidFill>
              <w14:schemeClr w14:val="tx1"/>
            </w14:solidFill>
          </w14:textFill>
        </w:rPr>
        <w:t>12</w:t>
      </w:r>
      <w:r>
        <w:rPr>
          <w:rFonts w:hint="eastAsia" w:ascii="方正仿宋_GBK" w:eastAsia="方正仿宋_GBK"/>
          <w:color w:val="000000" w:themeColor="text1"/>
          <w:spacing w:val="-4"/>
          <w:sz w:val="32"/>
          <w:szCs w:val="32"/>
          <w14:textFill>
            <w14:solidFill>
              <w14:schemeClr w14:val="tx1"/>
            </w14:solidFill>
          </w14:textFill>
        </w:rPr>
        <w:t>期（总</w:t>
      </w:r>
      <w:r>
        <w:rPr>
          <w:rFonts w:hint="eastAsia" w:ascii="方正仿宋_GBK" w:eastAsia="方正仿宋_GBK"/>
          <w:color w:val="000000" w:themeColor="text1"/>
          <w:spacing w:val="-4"/>
          <w:sz w:val="32"/>
          <w:szCs w:val="32"/>
          <w:lang w:val="en-US" w:eastAsia="zh-CN"/>
          <w14:textFill>
            <w14:solidFill>
              <w14:schemeClr w14:val="tx1"/>
            </w14:solidFill>
          </w14:textFill>
        </w:rPr>
        <w:t>56</w:t>
      </w:r>
      <w:r>
        <w:rPr>
          <w:rFonts w:hint="eastAsia" w:ascii="方正仿宋_GBK" w:eastAsia="方正仿宋_GBK"/>
          <w:color w:val="000000" w:themeColor="text1"/>
          <w:spacing w:val="-4"/>
          <w:sz w:val="32"/>
          <w:szCs w:val="32"/>
          <w14:textFill>
            <w14:solidFill>
              <w14:schemeClr w14:val="tx1"/>
            </w14:solidFill>
          </w14:textFill>
        </w:rPr>
        <w:t>期）</w:t>
      </w:r>
    </w:p>
    <w:p>
      <w:pPr>
        <w:rPr>
          <w:rFonts w:hint="eastAsia" w:ascii="方正仿宋_GBK" w:eastAsia="方正仿宋_GBK"/>
          <w:color w:val="000000" w:themeColor="text1"/>
          <w:spacing w:val="-4"/>
          <w:sz w:val="32"/>
          <w:szCs w:val="32"/>
          <w:lang w:val="en-US" w:eastAsia="zh-CN"/>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20</w:t>
      </w:r>
      <w:r>
        <w:rPr>
          <w:rFonts w:hint="eastAsia" w:ascii="方正仿宋_GBK" w:eastAsia="方正仿宋_GBK"/>
          <w:color w:val="000000" w:themeColor="text1"/>
          <w:spacing w:val="-4"/>
          <w:sz w:val="32"/>
          <w:szCs w:val="32"/>
          <w:lang w:val="en-US" w:eastAsia="zh-CN"/>
          <w14:textFill>
            <w14:solidFill>
              <w14:schemeClr w14:val="tx1"/>
            </w14:solidFill>
          </w14:textFill>
        </w:rPr>
        <w:t>23年01</w:t>
      </w:r>
      <w:r>
        <w:rPr>
          <w:rFonts w:hint="eastAsia" w:ascii="方正仿宋_GBK" w:eastAsia="方正仿宋_GBK"/>
          <w:color w:val="000000" w:themeColor="text1"/>
          <w:spacing w:val="-4"/>
          <w:sz w:val="32"/>
          <w:szCs w:val="32"/>
          <w14:textFill>
            <w14:solidFill>
              <w14:schemeClr w14:val="tx1"/>
            </w14:solidFill>
          </w14:textFill>
        </w:rPr>
        <w:t>月</w:t>
      </w:r>
      <w:r>
        <w:rPr>
          <w:rFonts w:hint="eastAsia" w:ascii="方正仿宋_GBK" w:eastAsia="方正仿宋_GBK"/>
          <w:color w:val="000000" w:themeColor="text1"/>
          <w:spacing w:val="-4"/>
          <w:sz w:val="32"/>
          <w:szCs w:val="32"/>
          <w:lang w:val="en-US" w:eastAsia="zh-CN"/>
          <w14:textFill>
            <w14:solidFill>
              <w14:schemeClr w14:val="tx1"/>
            </w14:solidFill>
          </w14:textFill>
        </w:rPr>
        <w:t>05</w:t>
      </w:r>
      <w:bookmarkStart w:id="0" w:name="_GoBack"/>
      <w:bookmarkEnd w:id="0"/>
      <w:r>
        <w:rPr>
          <w:rFonts w:hint="eastAsia" w:ascii="方正仿宋_GBK" w:eastAsia="方正仿宋_GBK"/>
          <w:color w:val="000000" w:themeColor="text1"/>
          <w:spacing w:val="-4"/>
          <w:sz w:val="32"/>
          <w:szCs w:val="32"/>
          <w14:textFill>
            <w14:solidFill>
              <w14:schemeClr w14:val="tx1"/>
            </w14:solidFill>
          </w14:textFill>
        </w:rPr>
        <w:t xml:space="preserve">日                           </w:t>
      </w:r>
      <w:r>
        <w:rPr>
          <w:rFonts w:hint="eastAsia" w:ascii="方正仿宋_GBK" w:eastAsia="方正仿宋_GBK"/>
          <w:color w:val="000000" w:themeColor="text1"/>
          <w:spacing w:val="-4"/>
          <w:sz w:val="32"/>
          <w:szCs w:val="32"/>
          <w:lang w:val="en-US" w:eastAsia="zh-CN"/>
          <w14:textFill>
            <w14:solidFill>
              <w14:schemeClr w14:val="tx1"/>
            </w14:solidFill>
          </w14:textFill>
        </w:rPr>
        <w:t xml:space="preserve"> </w:t>
      </w:r>
      <w:r>
        <w:rPr>
          <w:rFonts w:hint="eastAsia" w:ascii="方正仿宋_GBK" w:eastAsia="方正仿宋_GBK"/>
          <w:color w:val="000000" w:themeColor="text1"/>
          <w:spacing w:val="-4"/>
          <w:sz w:val="32"/>
          <w:szCs w:val="32"/>
          <w14:textFill>
            <w14:solidFill>
              <w14:schemeClr w14:val="tx1"/>
            </w14:solidFill>
          </w14:textFill>
        </w:rPr>
        <w:t>签发：</w:t>
      </w:r>
      <w:r>
        <w:rPr>
          <w:rFonts w:hint="eastAsia" w:ascii="方正仿宋_GBK" w:eastAsia="方正仿宋_GBK"/>
          <w:color w:val="000000" w:themeColor="text1"/>
          <w:spacing w:val="-4"/>
          <w:sz w:val="32"/>
          <w:szCs w:val="32"/>
          <w:lang w:eastAsia="zh-CN"/>
          <w14:textFill>
            <w14:solidFill>
              <w14:schemeClr w14:val="tx1"/>
            </w14:solidFill>
          </w14:textFill>
        </w:rPr>
        <w:t>郝秋</w:t>
      </w:r>
    </w:p>
    <w:p>
      <w:pPr>
        <w:jc w:val="center"/>
        <w:rPr>
          <w:rFonts w:ascii="方正小标宋简体" w:eastAsia="方正小标宋简体"/>
          <w:color w:val="000000" w:themeColor="text1"/>
          <w:spacing w:val="-4"/>
          <w:sz w:val="44"/>
          <w:szCs w:val="44"/>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-196850</wp:posOffset>
                </wp:positionH>
                <wp:positionV relativeFrom="page">
                  <wp:posOffset>2325370</wp:posOffset>
                </wp:positionV>
                <wp:extent cx="5615940" cy="0"/>
                <wp:effectExtent l="0" t="12700" r="3810" b="1587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5400">
                          <a:solidFill>
                            <a:srgbClr val="FF0000"/>
                          </a:solidFill>
                          <a:round/>
                        </a:ln>
                        <a:effectLst/>
                      </wps:spPr>
                      <wps:bodyPr/>
                    </wps:wsp>
                  </a:graphicData>
                </a:graphic>
              </wp:anchor>
            </w:drawing>
          </mc:Choice>
          <mc:Fallback>
            <w:pict>
              <v:line id="_x0000_s1026" o:spid="_x0000_s1026" o:spt="20" style="position:absolute;left:0pt;margin-left:-15.5pt;margin-top:183.1pt;height:0pt;width:442.2pt;mso-position-vertical-relative:page;z-index:-251657216;mso-width-relative:page;mso-height-relative:page;" filled="f" stroked="t" coordsize="21600,21600" o:gfxdata="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WYBv2QAAAAsBAAAPAAAAAAAAAAEAIAAAACIAAABkcnMvZG93bnJldi54bWxQSwECFAAUAAAA&#10;CACHTuJAEMwcJ+0BAAC5AwAADgAAAAAAAAABACAAAAAoAQAAZHJzL2Uyb0RvYy54bWxQSwUGAAAA&#10;AAYABgBZAQAAhwUAAAAA&#10;">
                <v:fill on="f" focussize="0,0"/>
                <v:stroke weight="2pt" color="#FF0000" joinstyle="round"/>
                <v:imagedata o:title=""/>
                <o:lock v:ext="edit" aspectratio="f"/>
              </v:line>
            </w:pict>
          </mc:Fallback>
        </mc:AlternateContent>
      </w:r>
    </w:p>
    <w:p>
      <w:pPr>
        <w:jc w:val="center"/>
        <w:rPr>
          <w:rFonts w:ascii="方正仿宋_GBK" w:eastAsia="方正仿宋_GBK"/>
          <w:color w:val="000000" w:themeColor="text1"/>
          <w:sz w:val="32"/>
          <w:szCs w:val="32"/>
          <w14:textFill>
            <w14:solidFill>
              <w14:schemeClr w14:val="tx1"/>
            </w14:solidFill>
          </w14:textFill>
        </w:rPr>
      </w:pPr>
      <w:r>
        <w:rPr>
          <w:rFonts w:hint="eastAsia" w:ascii="方正小标宋简体" w:eastAsia="方正小标宋简体"/>
          <w:color w:val="000000" w:themeColor="text1"/>
          <w:spacing w:val="-4"/>
          <w:sz w:val="44"/>
          <w:szCs w:val="44"/>
          <w14:textFill>
            <w14:solidFill>
              <w14:schemeClr w14:val="tx1"/>
            </w14:solidFill>
          </w14:textFill>
        </w:rPr>
        <w:t>20</w:t>
      </w:r>
      <w:r>
        <w:rPr>
          <w:rFonts w:hint="eastAsia" w:ascii="方正小标宋简体" w:eastAsia="方正小标宋简体"/>
          <w:color w:val="000000" w:themeColor="text1"/>
          <w:spacing w:val="-4"/>
          <w:sz w:val="44"/>
          <w:szCs w:val="44"/>
          <w:lang w:val="en-US" w:eastAsia="zh-CN"/>
          <w14:textFill>
            <w14:solidFill>
              <w14:schemeClr w14:val="tx1"/>
            </w14:solidFill>
          </w14:textFill>
        </w:rPr>
        <w:t>22</w:t>
      </w:r>
      <w:r>
        <w:rPr>
          <w:rFonts w:hint="eastAsia" w:ascii="方正小标宋简体" w:eastAsia="方正小标宋简体"/>
          <w:color w:val="000000" w:themeColor="text1"/>
          <w:spacing w:val="-4"/>
          <w:sz w:val="44"/>
          <w:szCs w:val="44"/>
          <w14:textFill>
            <w14:solidFill>
              <w14:schemeClr w14:val="tx1"/>
            </w14:solidFill>
          </w14:textFill>
        </w:rPr>
        <w:t>年</w:t>
      </w:r>
      <w:r>
        <w:rPr>
          <w:rFonts w:hint="eastAsia" w:ascii="方正小标宋简体" w:eastAsia="方正小标宋简体"/>
          <w:color w:val="000000" w:themeColor="text1"/>
          <w:spacing w:val="-4"/>
          <w:sz w:val="44"/>
          <w:szCs w:val="44"/>
          <w:lang w:val="en-US" w:eastAsia="zh-CN"/>
          <w14:textFill>
            <w14:solidFill>
              <w14:schemeClr w14:val="tx1"/>
            </w14:solidFill>
          </w14:textFill>
        </w:rPr>
        <w:t>12</w:t>
      </w:r>
      <w:r>
        <w:rPr>
          <w:rFonts w:hint="eastAsia" w:ascii="方正小标宋简体" w:eastAsia="方正小标宋简体"/>
          <w:color w:val="000000" w:themeColor="text1"/>
          <w:spacing w:val="-4"/>
          <w:sz w:val="44"/>
          <w:szCs w:val="44"/>
          <w14:textFill>
            <w14:solidFill>
              <w14:schemeClr w14:val="tx1"/>
            </w14:solidFill>
          </w14:textFill>
        </w:rPr>
        <w:t>月业务运行工作通报</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一、</w:t>
      </w:r>
      <w:r>
        <w:rPr>
          <w:rFonts w:hint="eastAsia" w:ascii="方正黑体_GBK" w:eastAsia="方正黑体_GBK"/>
          <w:color w:val="000000" w:themeColor="text1"/>
          <w:spacing w:val="-4"/>
          <w:sz w:val="32"/>
          <w:szCs w:val="32"/>
          <w14:textFill>
            <w14:solidFill>
              <w14:schemeClr w14:val="tx1"/>
            </w14:solidFill>
          </w14:textFill>
        </w:rPr>
        <w:t>预警信号发布情况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12月，全市各级预警中心通过预警平台发布气象预警信号109期（大雾：橙色10期、黄色55期；大风：蓝色3期；道路结冰：黄色21期；霜冻：蓝色：19期；暴雪：蓝色1期），均为区县发布。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eastAsia="方正仿宋_GBK"/>
          <w:sz w:val="32"/>
          <w:szCs w:val="32"/>
          <w:lang w:val="en-US" w:eastAsia="zh-CN"/>
        </w:rPr>
      </w:pPr>
      <w:r>
        <w:drawing>
          <wp:inline distT="0" distB="0" distL="114300" distR="114300">
            <wp:extent cx="5273675" cy="1893570"/>
            <wp:effectExtent l="9525" t="9525" r="12700" b="2095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5"/>
                    <a:stretch>
                      <a:fillRect/>
                    </a:stretch>
                  </pic:blipFill>
                  <pic:spPr>
                    <a:xfrm>
                      <a:off x="0" y="0"/>
                      <a:ext cx="5273675" cy="1893570"/>
                    </a:xfrm>
                    <a:prstGeom prst="rect">
                      <a:avLst/>
                    </a:prstGeom>
                    <a:noFill/>
                    <a:ln>
                      <a:solidFill>
                        <a:schemeClr val="tx1"/>
                      </a:solidFill>
                    </a:ln>
                  </pic:spPr>
                </pic:pic>
              </a:graphicData>
            </a:graphic>
          </wp:inline>
        </w:drawing>
      </w:r>
    </w:p>
    <w:p>
      <w:pPr>
        <w:tabs>
          <w:tab w:val="left" w:pos="5171"/>
        </w:tabs>
        <w:spacing w:line="520" w:lineRule="exact"/>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图1 全市预警信号发布情况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二、</w:t>
      </w:r>
      <w:r>
        <w:rPr>
          <w:rFonts w:hint="eastAsia" w:ascii="方正黑体_GBK" w:eastAsia="方正黑体_GBK"/>
          <w:color w:val="000000" w:themeColor="text1"/>
          <w:spacing w:val="-4"/>
          <w:sz w:val="32"/>
          <w:szCs w:val="32"/>
          <w14:textFill>
            <w14:solidFill>
              <w14:schemeClr w14:val="tx1"/>
            </w14:solidFill>
          </w14:textFill>
        </w:rPr>
        <w:t>灾害风险超阈值实况发布情况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12月，全市各区县预警中心没有发布灾害风险超阈值实况信息。</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三、</w:t>
      </w:r>
      <w:r>
        <w:rPr>
          <w:rFonts w:hint="eastAsia" w:ascii="方正黑体_GBK" w:eastAsia="方正黑体_GBK"/>
          <w:color w:val="000000" w:themeColor="text1"/>
          <w:spacing w:val="-4"/>
          <w:sz w:val="32"/>
          <w:szCs w:val="32"/>
          <w14:textFill>
            <w14:solidFill>
              <w14:schemeClr w14:val="tx1"/>
            </w14:solidFill>
          </w14:textFill>
        </w:rPr>
        <w:t>预警服务信息发布情况</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12月，全市各级预警中心通过预警平台发布气象预警服务信息127期，其中重要气象信息专报84期、强对流天气临近预警26期、雨情通报17期。</w:t>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both"/>
        <w:textAlignment w:val="auto"/>
        <w:rPr>
          <w:rFonts w:hint="eastAsia" w:ascii="方正仿宋_GBK" w:eastAsia="方正仿宋_GBK"/>
          <w:sz w:val="32"/>
          <w:szCs w:val="32"/>
          <w:lang w:val="en-US" w:eastAsia="zh-CN"/>
        </w:rPr>
      </w:pPr>
      <w:r>
        <w:drawing>
          <wp:inline distT="0" distB="0" distL="114300" distR="114300">
            <wp:extent cx="5266055" cy="1700530"/>
            <wp:effectExtent l="9525" t="9525" r="20320" b="2349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266055" cy="170053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2</w:t>
      </w:r>
      <w:r>
        <w:rPr>
          <w:rFonts w:hint="eastAsia" w:ascii="方正仿宋_GBK" w:eastAsia="方正仿宋_GBK"/>
          <w:color w:val="000000" w:themeColor="text1"/>
          <w:sz w:val="28"/>
          <w:szCs w:val="28"/>
          <w14:textFill>
            <w14:solidFill>
              <w14:schemeClr w14:val="tx1"/>
            </w14:solidFill>
          </w14:textFill>
        </w:rPr>
        <w:t xml:space="preserve"> 气象预警服务信息发布情况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四、</w:t>
      </w:r>
      <w:r>
        <w:rPr>
          <w:rFonts w:hint="eastAsia" w:ascii="方正黑体_GBK" w:eastAsia="方正黑体_GBK"/>
          <w:color w:val="000000" w:themeColor="text1"/>
          <w:spacing w:val="-4"/>
          <w:sz w:val="32"/>
          <w:szCs w:val="32"/>
          <w14:textFill>
            <w14:solidFill>
              <w14:schemeClr w14:val="tx1"/>
            </w14:solidFill>
          </w14:textFill>
        </w:rPr>
        <w:t>各部门和乡镇（街道）信息发布情况</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12月，全市气象部门发布预警服务消息1,887条，发送短信959.93万人次；其他部门发布预警服务消息2,913条，发送短信1,745.14万人次；乡镇（街道）发布预警服务消息26,569条，发送短信2,279.93万人次。</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center"/>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表1 部门和乡镇（街道）信息发布详情</w:t>
      </w:r>
    </w:p>
    <w:tbl>
      <w:tblPr>
        <w:tblStyle w:val="3"/>
        <w:tblpPr w:leftFromText="180" w:rightFromText="180" w:vertAnchor="text" w:horzAnchor="page" w:tblpX="2052" w:tblpY="133"/>
        <w:tblOverlap w:val="never"/>
        <w:tblW w:w="790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
      <w:tblGrid>
        <w:gridCol w:w="1424"/>
        <w:gridCol w:w="1023"/>
        <w:gridCol w:w="1651"/>
        <w:gridCol w:w="1325"/>
        <w:gridCol w:w="999"/>
        <w:gridCol w:w="148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trPr>
        <w:tc>
          <w:tcPr>
            <w:tcW w:w="14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
                <w:bCs/>
                <w:i w:val="0"/>
                <w:color w:val="000000"/>
                <w:kern w:val="2"/>
                <w:sz w:val="24"/>
                <w:szCs w:val="24"/>
              </w:rPr>
            </w:pPr>
            <w:r>
              <w:rPr>
                <w:rFonts w:hint="eastAsia" w:ascii="方正仿宋_GBK" w:hAnsi="方正仿宋_GBK" w:eastAsia="方正仿宋_GBK" w:cs="方正仿宋_GBK"/>
                <w:b/>
                <w:bCs/>
                <w:i w:val="0"/>
                <w:iCs w:val="0"/>
                <w:color w:val="000000"/>
                <w:kern w:val="0"/>
                <w:sz w:val="24"/>
                <w:szCs w:val="24"/>
                <w:lang w:val="en-US" w:eastAsia="zh-CN" w:bidi="ar"/>
              </w:rPr>
              <w:t>部门</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
                <w:bCs/>
                <w:i w:val="0"/>
                <w:color w:val="000000"/>
                <w:kern w:val="2"/>
                <w:sz w:val="24"/>
                <w:szCs w:val="24"/>
              </w:rPr>
            </w:pPr>
            <w:r>
              <w:rPr>
                <w:rFonts w:hint="eastAsia" w:ascii="方正仿宋_GBK" w:hAnsi="方正仿宋_GBK" w:eastAsia="方正仿宋_GBK" w:cs="方正仿宋_GBK"/>
                <w:b/>
                <w:bCs/>
                <w:i w:val="0"/>
                <w:iCs w:val="0"/>
                <w:color w:val="000000"/>
                <w:kern w:val="0"/>
                <w:sz w:val="24"/>
                <w:szCs w:val="24"/>
                <w:lang w:val="en-US" w:eastAsia="zh-CN" w:bidi="ar"/>
              </w:rPr>
              <w:t>条数</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
                <w:bCs/>
                <w:i w:val="0"/>
                <w:color w:val="000000"/>
                <w:kern w:val="2"/>
                <w:sz w:val="24"/>
                <w:szCs w:val="24"/>
              </w:rPr>
            </w:pPr>
            <w:r>
              <w:rPr>
                <w:rFonts w:hint="eastAsia" w:ascii="方正仿宋_GBK" w:hAnsi="方正仿宋_GBK" w:eastAsia="方正仿宋_GBK" w:cs="方正仿宋_GBK"/>
                <w:b/>
                <w:bCs/>
                <w:i w:val="0"/>
                <w:iCs w:val="0"/>
                <w:color w:val="000000"/>
                <w:kern w:val="0"/>
                <w:sz w:val="24"/>
                <w:szCs w:val="24"/>
                <w:lang w:val="en-US" w:eastAsia="zh-CN" w:bidi="ar"/>
              </w:rPr>
              <w:t>人次数（万）</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
                <w:bCs/>
                <w:i w:val="0"/>
                <w:color w:val="000000"/>
                <w:kern w:val="2"/>
                <w:sz w:val="24"/>
                <w:szCs w:val="24"/>
              </w:rPr>
            </w:pPr>
            <w:r>
              <w:rPr>
                <w:rFonts w:hint="eastAsia" w:ascii="方正仿宋_GBK" w:hAnsi="方正仿宋_GBK" w:eastAsia="方正仿宋_GBK" w:cs="方正仿宋_GBK"/>
                <w:b/>
                <w:bCs/>
                <w:i w:val="0"/>
                <w:iCs w:val="0"/>
                <w:color w:val="000000"/>
                <w:kern w:val="0"/>
                <w:sz w:val="24"/>
                <w:szCs w:val="24"/>
                <w:lang w:val="en-US" w:eastAsia="zh-CN" w:bidi="ar"/>
              </w:rPr>
              <w:t>部门</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
                <w:bCs/>
                <w:i w:val="0"/>
                <w:color w:val="000000"/>
                <w:kern w:val="2"/>
                <w:sz w:val="24"/>
                <w:szCs w:val="24"/>
              </w:rPr>
            </w:pPr>
            <w:r>
              <w:rPr>
                <w:rFonts w:hint="eastAsia" w:ascii="方正仿宋_GBK" w:hAnsi="方正仿宋_GBK" w:eastAsia="方正仿宋_GBK" w:cs="方正仿宋_GBK"/>
                <w:b/>
                <w:bCs/>
                <w:i w:val="0"/>
                <w:iCs w:val="0"/>
                <w:color w:val="000000"/>
                <w:kern w:val="0"/>
                <w:sz w:val="24"/>
                <w:szCs w:val="24"/>
                <w:lang w:val="en-US" w:eastAsia="zh-CN" w:bidi="ar"/>
              </w:rPr>
              <w:t>条数</w:t>
            </w:r>
          </w:p>
        </w:tc>
        <w:tc>
          <w:tcPr>
            <w:tcW w:w="148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
                <w:bCs/>
                <w:i w:val="0"/>
                <w:color w:val="000000"/>
                <w:kern w:val="2"/>
                <w:sz w:val="24"/>
                <w:szCs w:val="24"/>
              </w:rPr>
            </w:pPr>
            <w:r>
              <w:rPr>
                <w:rFonts w:hint="eastAsia" w:ascii="方正仿宋_GBK" w:hAnsi="方正仿宋_GBK" w:eastAsia="方正仿宋_GBK" w:cs="方正仿宋_GBK"/>
                <w:b/>
                <w:bCs/>
                <w:i w:val="0"/>
                <w:iCs w:val="0"/>
                <w:color w:val="000000"/>
                <w:kern w:val="0"/>
                <w:sz w:val="24"/>
                <w:szCs w:val="24"/>
                <w:lang w:val="en-US" w:eastAsia="zh-CN" w:bidi="ar"/>
              </w:rPr>
              <w:t>人次数（万）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trPr>
        <w:tc>
          <w:tcPr>
            <w:tcW w:w="14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乡镇（街道）</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12,641</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1,053.05</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消防</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38</w:t>
            </w:r>
          </w:p>
        </w:tc>
        <w:tc>
          <w:tcPr>
            <w:tcW w:w="148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111.96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trPr>
        <w:tc>
          <w:tcPr>
            <w:tcW w:w="14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气象</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1,887</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959.93</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住建委</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38</w:t>
            </w:r>
          </w:p>
        </w:tc>
        <w:tc>
          <w:tcPr>
            <w:tcW w:w="148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trPr>
        <w:tc>
          <w:tcPr>
            <w:tcW w:w="14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其他</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396</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94.98</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城管</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35</w:t>
            </w:r>
          </w:p>
        </w:tc>
        <w:tc>
          <w:tcPr>
            <w:tcW w:w="148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trPr>
        <w:tc>
          <w:tcPr>
            <w:tcW w:w="14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应急</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143</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13.74</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规自</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23</w:t>
            </w:r>
          </w:p>
        </w:tc>
        <w:tc>
          <w:tcPr>
            <w:tcW w:w="148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0.61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30" w:hRule="atLeast"/>
        </w:trPr>
        <w:tc>
          <w:tcPr>
            <w:tcW w:w="14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交通</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115</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108.03</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环境</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22</w:t>
            </w:r>
          </w:p>
        </w:tc>
        <w:tc>
          <w:tcPr>
            <w:tcW w:w="148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0.83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trPr>
        <w:tc>
          <w:tcPr>
            <w:tcW w:w="14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经信委</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110</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7.41</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水利</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9</w:t>
            </w:r>
          </w:p>
        </w:tc>
        <w:tc>
          <w:tcPr>
            <w:tcW w:w="148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0.17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trPr>
        <w:tc>
          <w:tcPr>
            <w:tcW w:w="14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农业农村</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96</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7.07</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海事</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6</w:t>
            </w:r>
          </w:p>
        </w:tc>
        <w:tc>
          <w:tcPr>
            <w:tcW w:w="148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0.091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trPr>
        <w:tc>
          <w:tcPr>
            <w:tcW w:w="14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林业</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60</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25.09</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商委</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6</w:t>
            </w:r>
          </w:p>
        </w:tc>
        <w:tc>
          <w:tcPr>
            <w:tcW w:w="148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0.06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trPr>
        <w:tc>
          <w:tcPr>
            <w:tcW w:w="14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教育</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58</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1.28</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卫健委</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148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113.89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trPr>
        <w:tc>
          <w:tcPr>
            <w:tcW w:w="14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文旅</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48</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0.5</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科委</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48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0.004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trPr>
        <w:tc>
          <w:tcPr>
            <w:tcW w:w="14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公安</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47</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391.79</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rPr>
                <w:rFonts w:hint="eastAsia" w:ascii="方正仿宋_GBK" w:hAnsi="方正仿宋_GBK" w:eastAsia="方正仿宋_GBK" w:cs="方正仿宋_GBK"/>
                <w:bCs/>
                <w:i w:val="0"/>
                <w:iCs w:val="0"/>
                <w:color w:val="000000"/>
                <w:kern w:val="0"/>
                <w:sz w:val="24"/>
                <w:szCs w:val="24"/>
              </w:rPr>
            </w:pP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rPr>
                <w:rFonts w:hint="eastAsia" w:ascii="方正仿宋_GBK" w:hAnsi="方正仿宋_GBK" w:eastAsia="方正仿宋_GBK" w:cs="方正仿宋_GBK"/>
                <w:bCs/>
                <w:i w:val="0"/>
                <w:iCs w:val="0"/>
                <w:color w:val="000000"/>
                <w:kern w:val="0"/>
                <w:sz w:val="24"/>
                <w:szCs w:val="24"/>
              </w:rPr>
            </w:pPr>
          </w:p>
        </w:tc>
        <w:tc>
          <w:tcPr>
            <w:tcW w:w="148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20" w:lineRule="exact"/>
              <w:ind w:left="0" w:right="0"/>
              <w:jc w:val="center"/>
              <w:rPr>
                <w:rFonts w:hint="eastAsia" w:ascii="方正仿宋_GBK" w:hAnsi="方正仿宋_GBK" w:eastAsia="方正仿宋_GBK" w:cs="方正仿宋_GBK"/>
                <w:bCs/>
                <w:i w:val="0"/>
                <w:iCs w:val="0"/>
                <w:color w:val="000000"/>
                <w:kern w:val="0"/>
                <w:sz w:val="24"/>
                <w:szCs w:val="24"/>
              </w:rPr>
            </w:pPr>
          </w:p>
        </w:tc>
      </w:tr>
    </w:tbl>
    <w:p>
      <w:pPr>
        <w:keepNext w:val="0"/>
        <w:keepLines w:val="0"/>
        <w:pageBreakBefore w:val="0"/>
        <w:widowControl w:val="0"/>
        <w:tabs>
          <w:tab w:val="left" w:pos="5171"/>
        </w:tabs>
        <w:kinsoku/>
        <w:wordWrap/>
        <w:overflowPunct/>
        <w:topLinePunct w:val="0"/>
        <w:autoSpaceDE/>
        <w:autoSpaceDN/>
        <w:bidi w:val="0"/>
        <w:adjustRightInd/>
        <w:snapToGrid/>
        <w:spacing w:line="240" w:lineRule="auto"/>
        <w:ind w:firstLine="420" w:firstLineChars="200"/>
        <w:jc w:val="center"/>
        <w:textAlignment w:val="auto"/>
        <w:rPr>
          <w:rFonts w:hint="eastAsia"/>
          <w:lang w:val="en-US" w:eastAsia="zh-CN"/>
        </w:rPr>
      </w:pPr>
      <w:r>
        <w:rPr>
          <w:rFonts w:hint="eastAsia"/>
          <w:lang w:val="en-US" w:eastAsia="zh-CN"/>
        </w:rPr>
        <w:t xml:space="preserve">   </w:t>
      </w:r>
    </w:p>
    <w:p>
      <w:pPr>
        <w:keepNext w:val="0"/>
        <w:keepLines w:val="0"/>
        <w:pageBreakBefore w:val="0"/>
        <w:widowControl w:val="0"/>
        <w:tabs>
          <w:tab w:val="left" w:pos="5171"/>
        </w:tabs>
        <w:kinsoku/>
        <w:wordWrap/>
        <w:overflowPunct/>
        <w:topLinePunct w:val="0"/>
        <w:autoSpaceDE/>
        <w:autoSpaceDN/>
        <w:bidi w:val="0"/>
        <w:adjustRightInd/>
        <w:snapToGrid/>
        <w:spacing w:line="240" w:lineRule="auto"/>
        <w:ind w:firstLine="420" w:firstLineChars="200"/>
        <w:jc w:val="center"/>
        <w:textAlignment w:val="auto"/>
        <w:rPr>
          <w:rFonts w:hint="eastAsia"/>
          <w:lang w:val="en-US" w:eastAsia="zh-CN"/>
        </w:rPr>
      </w:pPr>
    </w:p>
    <w:p>
      <w:pPr>
        <w:keepNext w:val="0"/>
        <w:keepLines w:val="0"/>
        <w:pageBreakBefore w:val="0"/>
        <w:widowControl w:val="0"/>
        <w:tabs>
          <w:tab w:val="left" w:pos="5171"/>
        </w:tabs>
        <w:kinsoku/>
        <w:wordWrap/>
        <w:overflowPunct/>
        <w:topLinePunct w:val="0"/>
        <w:autoSpaceDE/>
        <w:autoSpaceDN/>
        <w:bidi w:val="0"/>
        <w:adjustRightInd/>
        <w:snapToGrid/>
        <w:spacing w:line="240" w:lineRule="auto"/>
        <w:ind w:firstLine="420" w:firstLineChars="200"/>
        <w:jc w:val="center"/>
        <w:textAlignment w:val="auto"/>
        <w:rPr>
          <w:rFonts w:hint="eastAsia"/>
          <w:lang w:val="en-US" w:eastAsia="zh-CN"/>
        </w:rPr>
      </w:pPr>
      <w:r>
        <w:drawing>
          <wp:inline distT="0" distB="0" distL="114300" distR="114300">
            <wp:extent cx="4986655" cy="2423795"/>
            <wp:effectExtent l="9525" t="9525" r="13970" b="2413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7"/>
                    <a:stretch>
                      <a:fillRect/>
                    </a:stretch>
                  </pic:blipFill>
                  <pic:spPr>
                    <a:xfrm>
                      <a:off x="0" y="0"/>
                      <a:ext cx="4986655" cy="242379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pP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3</w:t>
      </w:r>
      <w:r>
        <w:rPr>
          <w:rFonts w:hint="eastAsia" w:ascii="方正仿宋_GBK" w:eastAsia="方正仿宋_GBK"/>
          <w:color w:val="000000" w:themeColor="text1"/>
          <w:sz w:val="28"/>
          <w:szCs w:val="28"/>
          <w14:textFill>
            <w14:solidFill>
              <w14:schemeClr w14:val="tx1"/>
            </w14:solidFill>
          </w14:textFill>
        </w:rPr>
        <w:t xml:space="preserve"> 各部门和乡镇（街道）信息发布情况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五、</w:t>
      </w:r>
      <w:r>
        <w:rPr>
          <w:rFonts w:hint="eastAsia" w:ascii="方正黑体_GBK" w:eastAsia="方正黑体_GBK"/>
          <w:color w:val="000000" w:themeColor="text1"/>
          <w:spacing w:val="-4"/>
          <w:sz w:val="32"/>
          <w:szCs w:val="32"/>
          <w14:textFill>
            <w14:solidFill>
              <w14:schemeClr w14:val="tx1"/>
            </w14:solidFill>
          </w14:textFill>
        </w:rPr>
        <w:t>分渠道信息发布情况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hint="eastAsia" w:ascii="方正仿宋_GBK" w:eastAsia="方正仿宋_GBK"/>
          <w:b/>
          <w:bCs/>
          <w:sz w:val="32"/>
          <w:szCs w:val="32"/>
        </w:rPr>
      </w:pPr>
      <w:r>
        <w:rPr>
          <w:rFonts w:hint="eastAsia" w:ascii="方正仿宋_GBK" w:eastAsia="方正仿宋_GBK"/>
          <w:b/>
          <w:bCs/>
          <w:sz w:val="32"/>
          <w:szCs w:val="32"/>
        </w:rPr>
        <w:t>1.短信</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12月，全市各级预警中心和预警工作站通过预警平台发布预警和服务信息共15,784条，累计发送2,890.98万人次。其中，市预警中心发布各类预警服务信息171条，发送18.08万人次；区县预警中心发布各类预警服务信息1,716条，发送941.85万人次；市、区县部门和乡镇（街道）预警工作站发布各类预警服务信息条13,897万条，发送1,931.05万人次。</w:t>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both"/>
        <w:textAlignment w:val="auto"/>
        <w:rPr>
          <w:rFonts w:hint="eastAsia" w:ascii="方正仿宋_GBK" w:eastAsia="方正仿宋_GBK"/>
          <w:sz w:val="32"/>
          <w:szCs w:val="32"/>
          <w:lang w:val="en-US" w:eastAsia="zh-CN"/>
        </w:rPr>
      </w:pPr>
      <w:r>
        <w:drawing>
          <wp:inline distT="0" distB="0" distL="114300" distR="114300">
            <wp:extent cx="5273040" cy="1734185"/>
            <wp:effectExtent l="9525" t="9525" r="13335" b="2794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8"/>
                    <a:stretch>
                      <a:fillRect/>
                    </a:stretch>
                  </pic:blipFill>
                  <pic:spPr>
                    <a:xfrm>
                      <a:off x="0" y="0"/>
                      <a:ext cx="5273040" cy="1734185"/>
                    </a:xfrm>
                    <a:prstGeom prst="rect">
                      <a:avLst/>
                    </a:prstGeom>
                    <a:noFill/>
                    <a:ln>
                      <a:solidFill>
                        <a:schemeClr val="tx1"/>
                      </a:solidFill>
                    </a:ln>
                  </pic:spPr>
                </pic:pic>
              </a:graphicData>
            </a:graphic>
          </wp:inline>
        </w:drawing>
      </w:r>
    </w:p>
    <w:p>
      <w:pPr>
        <w:tabs>
          <w:tab w:val="left" w:pos="5171"/>
        </w:tabs>
        <w:spacing w:line="560" w:lineRule="exact"/>
        <w:jc w:val="center"/>
        <w:rPr>
          <w:rFonts w:hint="eastAsia" w:ascii="方正仿宋_GBK" w:eastAsia="方正仿宋_GBK"/>
          <w:b/>
          <w:bCs/>
          <w:sz w:val="32"/>
          <w:szCs w:val="32"/>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4</w:t>
      </w:r>
      <w:r>
        <w:rPr>
          <w:rFonts w:hint="eastAsia" w:ascii="方正仿宋_GBK" w:eastAsia="方正仿宋_GBK"/>
          <w:color w:val="000000" w:themeColor="text1"/>
          <w:sz w:val="28"/>
          <w:szCs w:val="28"/>
          <w14:textFill>
            <w14:solidFill>
              <w14:schemeClr w14:val="tx1"/>
            </w14:solidFill>
          </w14:textFill>
        </w:rPr>
        <w:t xml:space="preserve"> 全市预警中心及预警工作站10639121通道信息发布情况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2.大喇叭</w:t>
      </w:r>
    </w:p>
    <w:p>
      <w:pPr>
        <w:keepNext w:val="0"/>
        <w:keepLines w:val="0"/>
        <w:pageBreakBefore w:val="0"/>
        <w:widowControl w:val="0"/>
        <w:kinsoku/>
        <w:wordWrap/>
        <w:overflowPunct/>
        <w:topLinePunct w:val="0"/>
        <w:autoSpaceDE/>
        <w:autoSpaceDN/>
        <w:bidi w:val="0"/>
        <w:adjustRightInd w:val="0"/>
        <w:snapToGrid w:val="0"/>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12月，全市各区县预警中心通过大喇叭发布各类预警服务信息共222条，累计发送485,693支次。其中合川、綦江、大足、璧山、潼南、巫山、石柱、酉阳等区县大喇叭使用较好。</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方正仿宋_GBK" w:eastAsia="方正仿宋_GBK"/>
          <w:sz w:val="32"/>
          <w:szCs w:val="32"/>
          <w:lang w:val="en-US" w:eastAsia="zh-CN"/>
        </w:rPr>
      </w:pPr>
      <w:r>
        <w:drawing>
          <wp:inline distT="0" distB="0" distL="114300" distR="114300">
            <wp:extent cx="5272405" cy="1682750"/>
            <wp:effectExtent l="9525" t="9525" r="13970" b="2222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9"/>
                    <a:stretch>
                      <a:fillRect/>
                    </a:stretch>
                  </pic:blipFill>
                  <pic:spPr>
                    <a:xfrm>
                      <a:off x="0" y="0"/>
                      <a:ext cx="5272405" cy="168275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val="0"/>
        <w:snapToGrid w:val="0"/>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5</w:t>
      </w:r>
      <w:r>
        <w:rPr>
          <w:rFonts w:hint="eastAsia" w:ascii="方正仿宋_GBK" w:eastAsia="方正仿宋_GBK"/>
          <w:color w:val="000000" w:themeColor="text1"/>
          <w:sz w:val="28"/>
          <w:szCs w:val="28"/>
          <w14:textFill>
            <w14:solidFill>
              <w14:schemeClr w14:val="tx1"/>
            </w14:solidFill>
          </w14:textFill>
        </w:rPr>
        <w:t xml:space="preserve"> 全市各预警中心大喇叭信息发布情况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3.电子显示屏</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12月，全市各区县预警中心通过电子显示屏发布各类预警服务信息共446条，累计发送11,131块次。其中，黔江、綦江、铜梁、开州、丰都、垫江、忠县、云阳、秀山等区县电子显示屏使用较好。</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eastAsia="方正仿宋_GBK"/>
          <w:color w:val="auto"/>
          <w:sz w:val="32"/>
          <w:szCs w:val="32"/>
          <w:lang w:val="en-US" w:eastAsia="zh-CN"/>
        </w:rPr>
      </w:pPr>
      <w:r>
        <w:drawing>
          <wp:inline distT="0" distB="0" distL="114300" distR="114300">
            <wp:extent cx="5265420" cy="1685925"/>
            <wp:effectExtent l="9525" t="9525" r="20955" b="1905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0"/>
                    <a:stretch>
                      <a:fillRect/>
                    </a:stretch>
                  </pic:blipFill>
                  <pic:spPr>
                    <a:xfrm>
                      <a:off x="0" y="0"/>
                      <a:ext cx="5265420" cy="168592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6</w:t>
      </w:r>
      <w:r>
        <w:rPr>
          <w:rFonts w:hint="eastAsia" w:ascii="方正仿宋_GBK" w:eastAsia="方正仿宋_GBK"/>
          <w:color w:val="000000" w:themeColor="text1"/>
          <w:sz w:val="28"/>
          <w:szCs w:val="28"/>
          <w14:textFill>
            <w14:solidFill>
              <w14:schemeClr w14:val="tx1"/>
            </w14:solidFill>
          </w14:textFill>
        </w:rPr>
        <w:t xml:space="preserve"> 全市各预警中心电子显示屏信息发布情况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color w:val="auto"/>
          <w:sz w:val="32"/>
          <w:szCs w:val="32"/>
        </w:rPr>
      </w:pPr>
      <w:r>
        <w:rPr>
          <w:rFonts w:hint="eastAsia" w:ascii="方正仿宋_GBK" w:eastAsia="方正仿宋_GBK"/>
          <w:b/>
          <w:bCs/>
          <w:color w:val="auto"/>
          <w:sz w:val="32"/>
          <w:szCs w:val="32"/>
        </w:rPr>
        <w:t>4.预警app</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12月，预警APP注册用户数为8,723人，共推送预警服务信息479条，开州推送信息最多（141条）。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eastAsia="方正仿宋_GBK"/>
          <w:color w:val="auto"/>
          <w:sz w:val="32"/>
          <w:szCs w:val="32"/>
          <w:lang w:val="en-US" w:eastAsia="zh-CN"/>
        </w:rPr>
      </w:pPr>
      <w:r>
        <w:drawing>
          <wp:inline distT="0" distB="0" distL="114300" distR="114300">
            <wp:extent cx="5269865" cy="1679575"/>
            <wp:effectExtent l="9525" t="9525" r="16510" b="2540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1"/>
                    <a:stretch>
                      <a:fillRect/>
                    </a:stretch>
                  </pic:blipFill>
                  <pic:spPr>
                    <a:xfrm>
                      <a:off x="0" y="0"/>
                      <a:ext cx="5269865" cy="167957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hint="eastAsia"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7</w:t>
      </w:r>
      <w:r>
        <w:rPr>
          <w:rFonts w:hint="eastAsia" w:ascii="方正仿宋_GBK" w:eastAsia="方正仿宋_GBK"/>
          <w:color w:val="000000" w:themeColor="text1"/>
          <w:sz w:val="28"/>
          <w:szCs w:val="28"/>
          <w14:textFill>
            <w14:solidFill>
              <w14:schemeClr w14:val="tx1"/>
            </w14:solidFill>
          </w14:textFill>
        </w:rPr>
        <w:t xml:space="preserve"> 全市各预警中心预警app信息推送情况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highlight w:val="none"/>
        </w:rPr>
      </w:pPr>
      <w:r>
        <w:rPr>
          <w:rFonts w:hint="eastAsia" w:ascii="方正仿宋_GBK" w:eastAsia="方正仿宋_GBK"/>
          <w:b/>
          <w:bCs/>
          <w:sz w:val="32"/>
          <w:szCs w:val="32"/>
          <w:highlight w:val="none"/>
        </w:rPr>
        <w:t>5.预警微信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12月，全市预警微信（含企业号和公众号）关注用户数为9.63万人，共发布预警服务信息538条，荣昌区关注用户最多（0.58万人），綦江发布信息最多（49条）。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eastAsia="方正仿宋_GBK"/>
          <w:color w:val="auto"/>
          <w:sz w:val="32"/>
          <w:szCs w:val="32"/>
          <w:lang w:val="en-US" w:eastAsia="zh-CN"/>
        </w:rPr>
      </w:pPr>
      <w:r>
        <w:drawing>
          <wp:inline distT="0" distB="0" distL="114300" distR="114300">
            <wp:extent cx="5293360" cy="1693545"/>
            <wp:effectExtent l="9525" t="9525" r="12065" b="1143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12"/>
                    <a:stretch>
                      <a:fillRect/>
                    </a:stretch>
                  </pic:blipFill>
                  <pic:spPr>
                    <a:xfrm>
                      <a:off x="0" y="0"/>
                      <a:ext cx="5293360" cy="169354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8</w:t>
      </w:r>
      <w:r>
        <w:rPr>
          <w:rFonts w:hint="eastAsia" w:ascii="方正仿宋_GBK" w:eastAsia="方正仿宋_GBK"/>
          <w:color w:val="000000" w:themeColor="text1"/>
          <w:sz w:val="28"/>
          <w:szCs w:val="28"/>
          <w14:textFill>
            <w14:solidFill>
              <w14:schemeClr w14:val="tx1"/>
            </w14:solidFill>
          </w14:textFill>
        </w:rPr>
        <w:t xml:space="preserve"> 全市各预警中心预警微信信息发布情况</w:t>
      </w:r>
    </w:p>
    <w:sectPr>
      <w:footerReference r:id="rId3" w:type="default"/>
      <w:pgSz w:w="11906" w:h="16838"/>
      <w:pgMar w:top="851" w:right="1800" w:bottom="1276"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6525674"/>
    </w:sdtPr>
    <w:sdtEndPr>
      <w:rPr>
        <w:rFonts w:ascii="宋体" w:hAnsi="宋体" w:eastAsia="宋体"/>
        <w:sz w:val="28"/>
        <w:szCs w:val="28"/>
      </w:rPr>
    </w:sdtEndPr>
    <w:sdtContent>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2ZDc3Y2U5NTQ0MTA3MzdjODg1OTk3YWNiNGI4MmMifQ=="/>
  </w:docVars>
  <w:rsids>
    <w:rsidRoot w:val="41244240"/>
    <w:rsid w:val="01460D48"/>
    <w:rsid w:val="01F73889"/>
    <w:rsid w:val="049B6848"/>
    <w:rsid w:val="0831362A"/>
    <w:rsid w:val="0B411749"/>
    <w:rsid w:val="0C1C0700"/>
    <w:rsid w:val="10033A00"/>
    <w:rsid w:val="158D3899"/>
    <w:rsid w:val="19AC4C35"/>
    <w:rsid w:val="19E740DD"/>
    <w:rsid w:val="1AF54722"/>
    <w:rsid w:val="1EE35ABF"/>
    <w:rsid w:val="23B73B60"/>
    <w:rsid w:val="23CD0422"/>
    <w:rsid w:val="258F5A40"/>
    <w:rsid w:val="320C2B23"/>
    <w:rsid w:val="347D0487"/>
    <w:rsid w:val="350A0EC9"/>
    <w:rsid w:val="380167DC"/>
    <w:rsid w:val="38832A24"/>
    <w:rsid w:val="3D721AC7"/>
    <w:rsid w:val="3D9039BE"/>
    <w:rsid w:val="41244240"/>
    <w:rsid w:val="45C312D5"/>
    <w:rsid w:val="46B104EC"/>
    <w:rsid w:val="47CE55DE"/>
    <w:rsid w:val="48454456"/>
    <w:rsid w:val="4A340A43"/>
    <w:rsid w:val="4C5B5044"/>
    <w:rsid w:val="4CB251D5"/>
    <w:rsid w:val="53F20C31"/>
    <w:rsid w:val="590A0028"/>
    <w:rsid w:val="59DD1418"/>
    <w:rsid w:val="622F5012"/>
    <w:rsid w:val="6E306FBF"/>
    <w:rsid w:val="6EE0327C"/>
    <w:rsid w:val="754F5977"/>
    <w:rsid w:val="797864E1"/>
    <w:rsid w:val="79EA2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1063</Words>
  <Characters>1321</Characters>
  <Lines>1</Lines>
  <Paragraphs>1</Paragraphs>
  <TotalTime>0</TotalTime>
  <ScaleCrop>false</ScaleCrop>
  <LinksUpToDate>false</LinksUpToDate>
  <CharactersWithSpaces>1361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2021-03-05T07:04:00Z</dcterms:created>
  <dc:creator>预警信息发布中心文秘</dc:creator>
  <cp:lastModifiedBy>HP</cp:lastModifiedBy>
  <cp:lastPrinted>2023-01-05T07:15:00Z</cp:lastPrinted>
  <dcterms:modified xsi:type="dcterms:W3CDTF">2023-01-05T08:43:33Z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309DB0AB356A403097651B66C4C7ECE5</vt:lpwstr>
  </property>
</Properties>
</file>