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0E" w:rsidRDefault="005B473D">
      <w:pPr>
        <w:widowControl/>
        <w:spacing w:line="720" w:lineRule="atLeast"/>
        <w:jc w:val="center"/>
        <w:outlineLvl w:val="0"/>
        <w:rPr>
          <w:rFonts w:ascii="方正黑体_GBK" w:eastAsia="方正黑体_GBK" w:hAnsi="微软雅黑" w:cs="宋体"/>
          <w:bCs/>
          <w:kern w:val="36"/>
          <w:sz w:val="32"/>
          <w:szCs w:val="32"/>
        </w:rPr>
      </w:pPr>
      <w:r>
        <w:rPr>
          <w:rFonts w:ascii="方正黑体_GBK" w:eastAsia="方正黑体_GBK" w:hAnsi="微软雅黑" w:cs="宋体" w:hint="eastAsia"/>
          <w:bCs/>
          <w:kern w:val="36"/>
          <w:sz w:val="32"/>
          <w:szCs w:val="32"/>
        </w:rPr>
        <w:t>奉节县气象局202</w:t>
      </w:r>
      <w:r w:rsidR="008B7099">
        <w:rPr>
          <w:rFonts w:ascii="方正黑体_GBK" w:eastAsia="方正黑体_GBK" w:hAnsi="微软雅黑" w:cs="宋体" w:hint="eastAsia"/>
          <w:bCs/>
          <w:kern w:val="36"/>
          <w:sz w:val="32"/>
          <w:szCs w:val="32"/>
        </w:rPr>
        <w:t>1</w:t>
      </w:r>
      <w:r>
        <w:rPr>
          <w:rFonts w:ascii="方正黑体_GBK" w:eastAsia="方正黑体_GBK" w:hAnsi="微软雅黑" w:cs="宋体" w:hint="eastAsia"/>
          <w:bCs/>
          <w:kern w:val="36"/>
          <w:sz w:val="32"/>
          <w:szCs w:val="32"/>
        </w:rPr>
        <w:t>年1月行政执法情况公告</w:t>
      </w:r>
    </w:p>
    <w:p w:rsidR="006A7B0E" w:rsidRDefault="006A7B0E">
      <w:pPr>
        <w:widowControl/>
        <w:spacing w:line="720" w:lineRule="atLeast"/>
        <w:jc w:val="center"/>
        <w:outlineLvl w:val="0"/>
        <w:rPr>
          <w:rFonts w:ascii="方正黑体_GBK" w:eastAsia="方正黑体_GBK" w:hAnsi="微软雅黑" w:cs="宋体"/>
          <w:b/>
          <w:bCs/>
          <w:kern w:val="36"/>
          <w:sz w:val="32"/>
          <w:szCs w:val="32"/>
        </w:rPr>
      </w:pPr>
    </w:p>
    <w:p w:rsidR="006A7B0E" w:rsidRDefault="005B473D">
      <w:pPr>
        <w:widowControl/>
        <w:spacing w:line="540" w:lineRule="exact"/>
        <w:ind w:firstLineChars="200" w:firstLine="640"/>
        <w:jc w:val="left"/>
        <w:outlineLvl w:val="0"/>
        <w:rPr>
          <w:rFonts w:ascii="宋体" w:eastAsia="宋体" w:hAnsi="宋体" w:cs="宋体"/>
          <w:color w:val="4E4E4E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按照“双随机、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公开”要求，202</w:t>
      </w:r>
      <w:r w:rsidR="008B709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年1月我局共对</w:t>
      </w:r>
      <w:r w:rsidR="009A17B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家防雷安全重点单位和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气象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灾害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敏感单位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进行了随机检查，共发现隐患</w:t>
      </w:r>
      <w:r w:rsidR="002531DE" w:rsidRPr="002531DE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处，行政处罚</w:t>
      </w:r>
      <w:r w:rsidRPr="002531D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家单位。现将存在问题的单位公告如下：</w:t>
      </w:r>
    </w:p>
    <w:tbl>
      <w:tblPr>
        <w:tblW w:w="517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1757"/>
        <w:gridCol w:w="3406"/>
        <w:gridCol w:w="1852"/>
        <w:gridCol w:w="1096"/>
      </w:tblGrid>
      <w:tr w:rsidR="006A7B0E" w:rsidTr="00AE4C39">
        <w:trPr>
          <w:trHeight w:val="600"/>
          <w:tblCellSpacing w:w="0" w:type="dxa"/>
        </w:trPr>
        <w:tc>
          <w:tcPr>
            <w:tcW w:w="396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被检查单位</w:t>
            </w:r>
          </w:p>
        </w:tc>
        <w:tc>
          <w:tcPr>
            <w:tcW w:w="1933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6A7B0E" w:rsidRDefault="005B473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6A7B0E" w:rsidTr="00AE4C39">
        <w:trPr>
          <w:trHeight w:val="1098"/>
          <w:tblCellSpacing w:w="0" w:type="dxa"/>
        </w:trPr>
        <w:tc>
          <w:tcPr>
            <w:tcW w:w="396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AE4C39" w:rsidP="00AE4C39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E4C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中国石油天然气股份有限公司重庆销售分公司万州奉节经营部</w:t>
            </w:r>
            <w:r w:rsid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中梁油库</w:t>
            </w:r>
          </w:p>
        </w:tc>
        <w:tc>
          <w:tcPr>
            <w:tcW w:w="1933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Pr="002531DE" w:rsidRDefault="005B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防雷装置安装运行状况；</w:t>
            </w:r>
          </w:p>
          <w:p w:rsidR="006A7B0E" w:rsidRPr="002531DE" w:rsidRDefault="005B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2.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开展防雷安全隐患排查整改情况。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Pr="002531DE" w:rsidRDefault="002531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发现防雷安全隐患</w:t>
            </w:r>
            <w:r w:rsidRPr="002531D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处，责令整改。现场已整改。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6A7B0E" w:rsidRDefault="00AE4C39">
            <w:pPr>
              <w:widowControl/>
              <w:spacing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加油加气站</w:t>
            </w:r>
          </w:p>
        </w:tc>
      </w:tr>
      <w:tr w:rsidR="006A7B0E" w:rsidTr="00AE4C39">
        <w:trPr>
          <w:trHeight w:val="1128"/>
          <w:tblCellSpacing w:w="0" w:type="dxa"/>
        </w:trPr>
        <w:tc>
          <w:tcPr>
            <w:tcW w:w="396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AE4C39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4C3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奉节</w:t>
            </w:r>
            <w:proofErr w:type="gramStart"/>
            <w:r w:rsidRPr="00AE4C3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县顺全加油站</w:t>
            </w:r>
            <w:proofErr w:type="gramEnd"/>
          </w:p>
        </w:tc>
        <w:tc>
          <w:tcPr>
            <w:tcW w:w="1933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Pr="002531DE" w:rsidRDefault="005B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防雷装置安装运行状况；</w:t>
            </w:r>
          </w:p>
          <w:p w:rsidR="006A7B0E" w:rsidRPr="002531DE" w:rsidRDefault="005B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2.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开展防雷安全隐患排查整改情况。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Pr="002531DE" w:rsidRDefault="002531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发现防雷安全隐患2处，并予以行政警告的处罚。责令限期整改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6A7B0E" w:rsidRDefault="005B473D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加油站</w:t>
            </w:r>
          </w:p>
        </w:tc>
      </w:tr>
      <w:tr w:rsidR="006A7B0E" w:rsidTr="00AE4C39">
        <w:trPr>
          <w:trHeight w:val="1128"/>
          <w:tblCellSpacing w:w="0" w:type="dxa"/>
        </w:trPr>
        <w:tc>
          <w:tcPr>
            <w:tcW w:w="396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5B473D">
            <w:pPr>
              <w:widowControl/>
              <w:spacing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Default="00AE4C39" w:rsidP="00AE4C39">
            <w:pPr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AE4C3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中南石油奉节白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</w:t>
            </w:r>
            <w:r w:rsidRPr="00AE4C3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池加油站</w:t>
            </w:r>
          </w:p>
        </w:tc>
        <w:tc>
          <w:tcPr>
            <w:tcW w:w="1933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AE4C39" w:rsidRPr="002531DE" w:rsidRDefault="00AE4C39" w:rsidP="00AE4C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防雷装置安装运行状况；</w:t>
            </w:r>
          </w:p>
          <w:p w:rsidR="006A7B0E" w:rsidRPr="002531DE" w:rsidRDefault="00AE4C39" w:rsidP="00AE4C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2.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开展防雷安全隐患排查整改情况。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 w:rsidR="006A7B0E" w:rsidRPr="002531DE" w:rsidRDefault="005B473D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发现防雷安全隐患</w:t>
            </w:r>
            <w:r w:rsidR="002531DE"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2处</w:t>
            </w:r>
            <w:r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，责令整改。</w:t>
            </w:r>
            <w:r w:rsidR="002531DE" w:rsidRPr="002531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现场已整改。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6A7B0E" w:rsidRDefault="005B473D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加油站</w:t>
            </w:r>
          </w:p>
        </w:tc>
      </w:tr>
    </w:tbl>
    <w:p w:rsidR="006A7B0E" w:rsidRDefault="006A7B0E"/>
    <w:sectPr w:rsidR="006A7B0E" w:rsidSect="006A7B0E">
      <w:pgSz w:w="11906" w:h="16838"/>
      <w:pgMar w:top="1440" w:right="1800" w:bottom="1440" w:left="1800" w:header="851" w:footer="992" w:gutter="0"/>
      <w:pgBorders w:offsetFrom="page"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C8" w:rsidRDefault="007900C8" w:rsidP="00225A4E">
      <w:r>
        <w:separator/>
      </w:r>
    </w:p>
  </w:endnote>
  <w:endnote w:type="continuationSeparator" w:id="0">
    <w:p w:rsidR="007900C8" w:rsidRDefault="007900C8" w:rsidP="0022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C8" w:rsidRDefault="007900C8" w:rsidP="00225A4E">
      <w:r>
        <w:separator/>
      </w:r>
    </w:p>
  </w:footnote>
  <w:footnote w:type="continuationSeparator" w:id="0">
    <w:p w:rsidR="007900C8" w:rsidRDefault="007900C8" w:rsidP="00225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47"/>
    <w:rsid w:val="00034A37"/>
    <w:rsid w:val="00034C4C"/>
    <w:rsid w:val="0004592D"/>
    <w:rsid w:val="00073B93"/>
    <w:rsid w:val="00096B69"/>
    <w:rsid w:val="000D5628"/>
    <w:rsid w:val="000F3C65"/>
    <w:rsid w:val="001341B7"/>
    <w:rsid w:val="00142DFA"/>
    <w:rsid w:val="00147478"/>
    <w:rsid w:val="001629DF"/>
    <w:rsid w:val="001A71B6"/>
    <w:rsid w:val="001C01EB"/>
    <w:rsid w:val="001D3034"/>
    <w:rsid w:val="001E2BD4"/>
    <w:rsid w:val="00225A4E"/>
    <w:rsid w:val="002531DE"/>
    <w:rsid w:val="00356BAA"/>
    <w:rsid w:val="0036759D"/>
    <w:rsid w:val="003A718C"/>
    <w:rsid w:val="003B737B"/>
    <w:rsid w:val="003C0582"/>
    <w:rsid w:val="003E2A0A"/>
    <w:rsid w:val="003F1392"/>
    <w:rsid w:val="003F6C24"/>
    <w:rsid w:val="0044616C"/>
    <w:rsid w:val="00451A5F"/>
    <w:rsid w:val="00516ADE"/>
    <w:rsid w:val="00547540"/>
    <w:rsid w:val="005635F2"/>
    <w:rsid w:val="00565E5A"/>
    <w:rsid w:val="005B473D"/>
    <w:rsid w:val="005C1AD6"/>
    <w:rsid w:val="006A7B0E"/>
    <w:rsid w:val="006B067A"/>
    <w:rsid w:val="006F6AA0"/>
    <w:rsid w:val="007113D8"/>
    <w:rsid w:val="00715CA7"/>
    <w:rsid w:val="00727AC4"/>
    <w:rsid w:val="00743723"/>
    <w:rsid w:val="007677FE"/>
    <w:rsid w:val="007900C8"/>
    <w:rsid w:val="00822FD3"/>
    <w:rsid w:val="00862FB9"/>
    <w:rsid w:val="0086783C"/>
    <w:rsid w:val="00887918"/>
    <w:rsid w:val="008B7099"/>
    <w:rsid w:val="0096040A"/>
    <w:rsid w:val="0097165F"/>
    <w:rsid w:val="009A17BB"/>
    <w:rsid w:val="009A7767"/>
    <w:rsid w:val="00A1058F"/>
    <w:rsid w:val="00A154B6"/>
    <w:rsid w:val="00A20651"/>
    <w:rsid w:val="00A47156"/>
    <w:rsid w:val="00A87524"/>
    <w:rsid w:val="00AC51BB"/>
    <w:rsid w:val="00AE4C39"/>
    <w:rsid w:val="00AF6612"/>
    <w:rsid w:val="00BC47C6"/>
    <w:rsid w:val="00BC6958"/>
    <w:rsid w:val="00BE2605"/>
    <w:rsid w:val="00BF71F1"/>
    <w:rsid w:val="00C069CD"/>
    <w:rsid w:val="00C16E9F"/>
    <w:rsid w:val="00C46797"/>
    <w:rsid w:val="00C72FB7"/>
    <w:rsid w:val="00D20CF7"/>
    <w:rsid w:val="00D54ED8"/>
    <w:rsid w:val="00D60A48"/>
    <w:rsid w:val="00D91BBF"/>
    <w:rsid w:val="00DA2432"/>
    <w:rsid w:val="00DB2598"/>
    <w:rsid w:val="00E254A3"/>
    <w:rsid w:val="00E825AC"/>
    <w:rsid w:val="00E90E47"/>
    <w:rsid w:val="00F25BE0"/>
    <w:rsid w:val="00FB3F87"/>
    <w:rsid w:val="00FC2B84"/>
    <w:rsid w:val="00FF7BE8"/>
    <w:rsid w:val="298A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7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7B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7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奉节</dc:creator>
  <cp:lastModifiedBy>奉节县气象局文秘</cp:lastModifiedBy>
  <cp:revision>2</cp:revision>
  <dcterms:created xsi:type="dcterms:W3CDTF">2021-02-05T07:22:00Z</dcterms:created>
  <dcterms:modified xsi:type="dcterms:W3CDTF">2021-02-05T07:22:00Z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